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9B448">
      <w:pPr>
        <w:pStyle w:val="2"/>
        <w:snapToGrid w:val="0"/>
        <w:spacing w:line="360" w:lineRule="auto"/>
        <w:ind w:firstLine="0" w:firstLineChars="0"/>
        <w:rPr>
          <w:rFonts w:hint="eastAsia" w:ascii="Times New Roman" w:hAnsi="Times New Roman" w:eastAsia="宋体" w:cs="宋体"/>
          <w:spacing w:val="10"/>
        </w:rPr>
      </w:pPr>
    </w:p>
    <w:p w14:paraId="11FDB280">
      <w:pPr>
        <w:pStyle w:val="9"/>
        <w:rPr>
          <w:rFonts w:hint="eastAsia" w:ascii="Times New Roman" w:hAnsi="Times New Roman" w:eastAsia="宋体" w:cs="宋体"/>
        </w:rPr>
      </w:pPr>
      <w:bookmarkStart w:id="0" w:name="_Toc136523148"/>
      <w:r>
        <w:rPr>
          <w:rFonts w:hint="eastAsia" w:ascii="Times New Roman" w:hAnsi="Times New Roman" w:eastAsia="宋体" w:cs="宋体"/>
        </w:rPr>
        <w:t>5、报价表</w:t>
      </w:r>
      <w:bookmarkEnd w:id="0"/>
    </w:p>
    <w:p w14:paraId="2A3429AD">
      <w:pPr>
        <w:spacing w:line="360" w:lineRule="auto"/>
        <w:jc w:val="left"/>
        <w:rPr>
          <w:rFonts w:hint="eastAsia" w:ascii="Times New Roman" w:hAnsi="Times New Roman" w:eastAsia="宋体" w:cs="宋体"/>
          <w:sz w:val="24"/>
          <w:szCs w:val="24"/>
        </w:rPr>
      </w:pPr>
      <w:r>
        <w:rPr>
          <w:rFonts w:hint="eastAsia" w:ascii="Times New Roman" w:hAnsi="Times New Roman" w:eastAsia="宋体" w:cs="宋体"/>
          <w:sz w:val="24"/>
          <w:szCs w:val="24"/>
        </w:rPr>
        <w:t>5.1、总表</w:t>
      </w:r>
    </w:p>
    <w:tbl>
      <w:tblPr>
        <w:tblStyle w:val="6"/>
        <w:tblW w:w="105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022"/>
        <w:gridCol w:w="1683"/>
        <w:gridCol w:w="1456"/>
        <w:gridCol w:w="1323"/>
        <w:gridCol w:w="1191"/>
        <w:gridCol w:w="1041"/>
      </w:tblGrid>
      <w:tr w14:paraId="083D3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8" w:hRule="atLeast"/>
          <w:jc w:val="center"/>
        </w:trPr>
        <w:tc>
          <w:tcPr>
            <w:tcW w:w="1817" w:type="dxa"/>
            <w:vAlign w:val="center"/>
          </w:tcPr>
          <w:p w14:paraId="59BC0960">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报价人名称</w:t>
            </w:r>
          </w:p>
        </w:tc>
        <w:tc>
          <w:tcPr>
            <w:tcW w:w="2022" w:type="dxa"/>
            <w:vAlign w:val="center"/>
          </w:tcPr>
          <w:p w14:paraId="02B90F2F">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项目名称</w:t>
            </w:r>
          </w:p>
        </w:tc>
        <w:tc>
          <w:tcPr>
            <w:tcW w:w="1683" w:type="dxa"/>
            <w:vAlign w:val="center"/>
          </w:tcPr>
          <w:p w14:paraId="024CBC09">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报价（含增值税专用发票）</w:t>
            </w:r>
          </w:p>
        </w:tc>
        <w:tc>
          <w:tcPr>
            <w:tcW w:w="1456" w:type="dxa"/>
            <w:vAlign w:val="center"/>
          </w:tcPr>
          <w:p w14:paraId="10E76A62">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报价</w:t>
            </w:r>
          </w:p>
          <w:p w14:paraId="6B528810">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声明</w:t>
            </w:r>
          </w:p>
        </w:tc>
        <w:tc>
          <w:tcPr>
            <w:tcW w:w="1323" w:type="dxa"/>
            <w:vAlign w:val="center"/>
          </w:tcPr>
          <w:p w14:paraId="30E80818">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服务期</w:t>
            </w:r>
          </w:p>
        </w:tc>
        <w:tc>
          <w:tcPr>
            <w:tcW w:w="1191" w:type="dxa"/>
            <w:vAlign w:val="center"/>
          </w:tcPr>
          <w:p w14:paraId="2A768C12">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服务地点</w:t>
            </w:r>
          </w:p>
        </w:tc>
        <w:tc>
          <w:tcPr>
            <w:tcW w:w="1041" w:type="dxa"/>
            <w:vAlign w:val="center"/>
          </w:tcPr>
          <w:p w14:paraId="2E19E08F">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备注</w:t>
            </w:r>
          </w:p>
        </w:tc>
      </w:tr>
      <w:tr w14:paraId="061E0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17" w:type="dxa"/>
            <w:vAlign w:val="center"/>
          </w:tcPr>
          <w:p w14:paraId="411D74A8">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p>
        </w:tc>
        <w:tc>
          <w:tcPr>
            <w:tcW w:w="2022" w:type="dxa"/>
            <w:vAlign w:val="center"/>
          </w:tcPr>
          <w:p w14:paraId="0B36F9DF">
            <w:pPr>
              <w:spacing w:line="276" w:lineRule="auto"/>
              <w:ind w:firstLine="120" w:firstLineChars="50"/>
              <w:jc w:val="center"/>
              <w:rPr>
                <w:rFonts w:hint="eastAsia" w:ascii="Times New Roman" w:hAnsi="Times New Roman" w:eastAsia="宋体" w:cs="宋体"/>
                <w:color w:val="000000" w:themeColor="text1"/>
                <w:sz w:val="24"/>
                <w14:textFill>
                  <w14:solidFill>
                    <w14:schemeClr w14:val="tx1"/>
                  </w14:solidFill>
                </w14:textFill>
              </w:rPr>
            </w:pPr>
          </w:p>
        </w:tc>
        <w:tc>
          <w:tcPr>
            <w:tcW w:w="1683" w:type="dxa"/>
            <w:vAlign w:val="center"/>
          </w:tcPr>
          <w:p w14:paraId="49414444">
            <w:pPr>
              <w:pStyle w:val="3"/>
              <w:rPr>
                <w:rFonts w:hint="eastAsia" w:ascii="Times New Roman" w:hAnsi="Times New Roman" w:eastAsia="宋体" w:cs="宋体"/>
              </w:rPr>
            </w:pPr>
          </w:p>
        </w:tc>
        <w:tc>
          <w:tcPr>
            <w:tcW w:w="1456" w:type="dxa"/>
            <w:vAlign w:val="center"/>
          </w:tcPr>
          <w:p w14:paraId="765C7C61">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p>
        </w:tc>
        <w:tc>
          <w:tcPr>
            <w:tcW w:w="1323" w:type="dxa"/>
            <w:vAlign w:val="center"/>
          </w:tcPr>
          <w:p w14:paraId="547191A4">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p>
        </w:tc>
        <w:tc>
          <w:tcPr>
            <w:tcW w:w="1191" w:type="dxa"/>
            <w:vAlign w:val="center"/>
          </w:tcPr>
          <w:p w14:paraId="4C9A72C7">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p>
        </w:tc>
        <w:tc>
          <w:tcPr>
            <w:tcW w:w="1041" w:type="dxa"/>
            <w:vAlign w:val="center"/>
          </w:tcPr>
          <w:p w14:paraId="10F2FD47">
            <w:pPr>
              <w:spacing w:line="276" w:lineRule="auto"/>
              <w:jc w:val="left"/>
              <w:rPr>
                <w:rFonts w:hint="eastAsia" w:ascii="Times New Roman" w:hAnsi="Times New Roman" w:eastAsia="宋体" w:cs="宋体"/>
                <w:color w:val="000000" w:themeColor="text1"/>
                <w:sz w:val="28"/>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税率：</w:t>
            </w:r>
          </w:p>
        </w:tc>
      </w:tr>
      <w:tr w14:paraId="26BF4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7" w:type="dxa"/>
            <w:vAlign w:val="center"/>
          </w:tcPr>
          <w:p w14:paraId="0A92DC8E">
            <w:pPr>
              <w:spacing w:line="460" w:lineRule="exact"/>
              <w:jc w:val="left"/>
              <w:rPr>
                <w:rFonts w:hint="eastAsia" w:ascii="Times New Roman" w:hAnsi="Times New Roman" w:eastAsia="宋体" w:cs="宋体"/>
                <w:b/>
                <w:bCs/>
                <w:sz w:val="22"/>
              </w:rPr>
            </w:pPr>
            <w:r>
              <w:rPr>
                <w:rFonts w:hint="eastAsia" w:ascii="Times New Roman" w:hAnsi="Times New Roman" w:eastAsia="宋体" w:cs="宋体"/>
                <w:b/>
                <w:bCs/>
                <w:sz w:val="22"/>
              </w:rPr>
              <w:t>总报价（含税价）</w:t>
            </w:r>
          </w:p>
        </w:tc>
        <w:tc>
          <w:tcPr>
            <w:tcW w:w="8716" w:type="dxa"/>
            <w:gridSpan w:val="6"/>
            <w:vAlign w:val="center"/>
          </w:tcPr>
          <w:p w14:paraId="3DB727E3">
            <w:pPr>
              <w:spacing w:line="460" w:lineRule="exact"/>
              <w:jc w:val="left"/>
              <w:rPr>
                <w:rFonts w:hint="eastAsia" w:ascii="Times New Roman" w:hAnsi="Times New Roman" w:eastAsia="宋体" w:cs="宋体"/>
                <w:b/>
                <w:bCs/>
                <w:sz w:val="22"/>
              </w:rPr>
            </w:pPr>
            <w:r>
              <w:rPr>
                <w:rFonts w:hint="eastAsia" w:ascii="Times New Roman" w:hAnsi="Times New Roman" w:eastAsia="宋体" w:cs="宋体"/>
                <w:b/>
                <w:bCs/>
                <w:sz w:val="22"/>
              </w:rPr>
              <w:t>大写：</w:t>
            </w:r>
            <w:r>
              <w:rPr>
                <w:rFonts w:hint="eastAsia" w:ascii="Times New Roman" w:hAnsi="Times New Roman" w:eastAsia="宋体" w:cs="宋体"/>
                <w:b/>
                <w:bCs/>
                <w:sz w:val="22"/>
                <w:u w:val="single"/>
              </w:rPr>
              <w:t xml:space="preserve">                 </w:t>
            </w:r>
            <w:r>
              <w:rPr>
                <w:rFonts w:hint="eastAsia" w:ascii="Times New Roman" w:hAnsi="Times New Roman" w:eastAsia="宋体" w:cs="宋体"/>
                <w:b/>
                <w:bCs/>
                <w:sz w:val="22"/>
              </w:rPr>
              <w:t>；</w:t>
            </w:r>
          </w:p>
          <w:p w14:paraId="09963314">
            <w:pPr>
              <w:spacing w:line="276" w:lineRule="auto"/>
              <w:jc w:val="left"/>
              <w:rPr>
                <w:rFonts w:hint="eastAsia" w:ascii="Times New Roman" w:hAnsi="Times New Roman" w:eastAsia="宋体" w:cs="宋体"/>
                <w:b/>
                <w:bCs/>
                <w:sz w:val="22"/>
              </w:rPr>
            </w:pPr>
            <w:r>
              <w:rPr>
                <w:rFonts w:hint="eastAsia" w:ascii="Times New Roman" w:hAnsi="Times New Roman" w:eastAsia="宋体" w:cs="宋体"/>
                <w:b/>
                <w:bCs/>
                <w:sz w:val="22"/>
              </w:rPr>
              <w:t xml:space="preserve">小写：（¥ </w:t>
            </w:r>
            <w:r>
              <w:rPr>
                <w:rFonts w:hint="eastAsia" w:ascii="Times New Roman" w:hAnsi="Times New Roman" w:eastAsia="宋体" w:cs="宋体"/>
                <w:b/>
                <w:bCs/>
                <w:sz w:val="22"/>
                <w:u w:val="single"/>
              </w:rPr>
              <w:t xml:space="preserve">                   元/年 </w:t>
            </w:r>
            <w:r>
              <w:rPr>
                <w:rFonts w:hint="eastAsia" w:ascii="Times New Roman" w:hAnsi="Times New Roman" w:eastAsia="宋体" w:cs="宋体"/>
                <w:b/>
                <w:bCs/>
                <w:sz w:val="22"/>
              </w:rPr>
              <w:t>）</w:t>
            </w:r>
            <w:bookmarkStart w:id="2" w:name="_GoBack"/>
            <w:bookmarkEnd w:id="2"/>
          </w:p>
        </w:tc>
      </w:tr>
    </w:tbl>
    <w:p w14:paraId="24BE4006">
      <w:pPr>
        <w:rPr>
          <w:rFonts w:hint="eastAsia" w:ascii="Times New Roman" w:hAnsi="Times New Roman" w:eastAsia="宋体" w:cs="宋体"/>
        </w:rPr>
      </w:pPr>
    </w:p>
    <w:p w14:paraId="626FA64C">
      <w:pPr>
        <w:rPr>
          <w:rFonts w:hint="eastAsia" w:ascii="Times New Roman" w:hAnsi="Times New Roman" w:eastAsia="宋体" w:cs="宋体"/>
        </w:rPr>
      </w:pPr>
    </w:p>
    <w:p w14:paraId="4EF78453">
      <w:pPr>
        <w:rPr>
          <w:rFonts w:hint="eastAsia" w:ascii="Times New Roman" w:hAnsi="Times New Roman" w:eastAsia="宋体" w:cs="宋体"/>
        </w:rPr>
      </w:pPr>
    </w:p>
    <w:p w14:paraId="24757709">
      <w:pPr>
        <w:rPr>
          <w:rFonts w:hint="eastAsia" w:ascii="Times New Roman" w:hAnsi="Times New Roman" w:eastAsia="宋体" w:cs="宋体"/>
        </w:rPr>
      </w:pPr>
    </w:p>
    <w:p w14:paraId="0F3D28EB">
      <w:pPr>
        <w:spacing w:line="360" w:lineRule="auto"/>
        <w:ind w:right="210"/>
        <w:jc w:val="left"/>
        <w:rPr>
          <w:rFonts w:hint="eastAsia" w:ascii="Times New Roman" w:hAnsi="Times New Roman" w:eastAsia="宋体" w:cs="宋体"/>
          <w:b/>
          <w:bCs/>
          <w:sz w:val="24"/>
        </w:rPr>
      </w:pPr>
    </w:p>
    <w:p w14:paraId="6A2E539B">
      <w:pPr>
        <w:spacing w:line="460" w:lineRule="exact"/>
        <w:ind w:left="945" w:hanging="945"/>
        <w:rPr>
          <w:rFonts w:hint="eastAsia" w:ascii="Times New Roman" w:hAnsi="Times New Roman" w:eastAsia="宋体" w:cs="宋体"/>
          <w:b/>
        </w:rPr>
      </w:pPr>
    </w:p>
    <w:p w14:paraId="243133F9">
      <w:pPr>
        <w:spacing w:line="460" w:lineRule="exact"/>
        <w:ind w:left="945" w:hanging="945"/>
        <w:rPr>
          <w:rFonts w:hint="eastAsia" w:ascii="Times New Roman" w:hAnsi="Times New Roman" w:eastAsia="宋体" w:cs="宋体"/>
          <w:b/>
        </w:rPr>
      </w:pPr>
    </w:p>
    <w:p w14:paraId="10A9ADBF">
      <w:pPr>
        <w:spacing w:line="460" w:lineRule="exact"/>
        <w:ind w:left="945" w:hanging="945"/>
        <w:rPr>
          <w:rFonts w:hint="eastAsia" w:ascii="Times New Roman" w:hAnsi="Times New Roman" w:eastAsia="宋体" w:cs="宋体"/>
          <w:b/>
          <w:sz w:val="24"/>
          <w:szCs w:val="24"/>
        </w:rPr>
      </w:pPr>
    </w:p>
    <w:p w14:paraId="760A26D0">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报价人：（盖章）</w:t>
      </w:r>
    </w:p>
    <w:p w14:paraId="1186E260">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执行事务合伙人或委托代理人：（签字或盖个人章）</w:t>
      </w:r>
    </w:p>
    <w:p w14:paraId="241A2787">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日期</w:t>
      </w:r>
      <w:r>
        <w:rPr>
          <w:rFonts w:hint="eastAsia" w:ascii="Times New Roman" w:hAnsi="Times New Roman" w:cs="宋体"/>
          <w:sz w:val="24"/>
          <w:szCs w:val="24"/>
          <w:lang w:eastAsia="zh-CN"/>
        </w:rPr>
        <w:t>：</w:t>
      </w:r>
      <w:r>
        <w:rPr>
          <w:rFonts w:hint="eastAsia" w:ascii="Times New Roman" w:hAnsi="Times New Roman" w:eastAsia="宋体" w:cs="宋体"/>
          <w:sz w:val="24"/>
          <w:szCs w:val="24"/>
        </w:rPr>
        <w:t xml:space="preserve">    年    月    日</w:t>
      </w:r>
    </w:p>
    <w:p w14:paraId="661159D5">
      <w:pPr>
        <w:spacing w:line="460" w:lineRule="exact"/>
        <w:ind w:left="945" w:hanging="945"/>
        <w:rPr>
          <w:rFonts w:hint="eastAsia" w:ascii="Times New Roman" w:hAnsi="Times New Roman" w:eastAsia="宋体" w:cs="宋体"/>
          <w:sz w:val="24"/>
          <w:szCs w:val="24"/>
        </w:rPr>
      </w:pPr>
    </w:p>
    <w:p w14:paraId="72647507">
      <w:pPr>
        <w:widowControl/>
        <w:jc w:val="left"/>
        <w:rPr>
          <w:rFonts w:hint="eastAsia" w:ascii="Times New Roman" w:hAnsi="Times New Roman" w:eastAsia="宋体" w:cs="宋体"/>
          <w:sz w:val="24"/>
          <w:szCs w:val="24"/>
        </w:rPr>
      </w:pPr>
      <w:r>
        <w:rPr>
          <w:rFonts w:hint="eastAsia" w:ascii="Times New Roman" w:hAnsi="Times New Roman" w:eastAsia="宋体" w:cs="宋体"/>
          <w:sz w:val="24"/>
          <w:szCs w:val="24"/>
        </w:rPr>
        <w:br w:type="page"/>
      </w:r>
    </w:p>
    <w:p w14:paraId="13B14680">
      <w:pPr>
        <w:pStyle w:val="9"/>
        <w:rPr>
          <w:rFonts w:hint="eastAsia" w:ascii="Times New Roman" w:hAnsi="Times New Roman" w:eastAsia="宋体" w:cs="宋体"/>
        </w:rPr>
      </w:pPr>
      <w:bookmarkStart w:id="1" w:name="_Toc136523149"/>
      <w:r>
        <w:rPr>
          <w:rFonts w:hint="eastAsia" w:ascii="Times New Roman" w:hAnsi="Times New Roman" w:eastAsia="宋体" w:cs="宋体"/>
        </w:rPr>
        <w:t>5.2、报价分项报价表</w:t>
      </w:r>
      <w:bookmarkEnd w:id="1"/>
    </w:p>
    <w:p w14:paraId="524739C4">
      <w:pPr>
        <w:spacing w:line="460" w:lineRule="exact"/>
        <w:ind w:left="945" w:hanging="945"/>
        <w:rPr>
          <w:rFonts w:hint="eastAsia" w:ascii="Times New Roman" w:hAnsi="Times New Roman" w:eastAsia="宋体" w:cs="宋体"/>
          <w:sz w:val="24"/>
          <w:szCs w:val="24"/>
        </w:rPr>
      </w:pPr>
    </w:p>
    <w:p w14:paraId="6322910E">
      <w:pPr>
        <w:spacing w:line="360" w:lineRule="auto"/>
        <w:rPr>
          <w:rFonts w:hint="eastAsia" w:ascii="Times New Roman" w:hAnsi="Times New Roman" w:eastAsia="宋体" w:cs="宋体"/>
          <w:color w:val="000000" w:themeColor="text1"/>
          <w:sz w:val="24"/>
          <w:u w:val="single"/>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 xml:space="preserve">报价人名称：                                                  </w:t>
      </w:r>
    </w:p>
    <w:tbl>
      <w:tblPr>
        <w:tblStyle w:val="6"/>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13"/>
        <w:gridCol w:w="1808"/>
        <w:gridCol w:w="1337"/>
        <w:gridCol w:w="1739"/>
        <w:gridCol w:w="2608"/>
      </w:tblGrid>
      <w:tr w14:paraId="774B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4" w:type="dxa"/>
            <w:vAlign w:val="center"/>
          </w:tcPr>
          <w:p w14:paraId="2D9875BE">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序号</w:t>
            </w:r>
          </w:p>
        </w:tc>
        <w:tc>
          <w:tcPr>
            <w:tcW w:w="2013" w:type="dxa"/>
            <w:vAlign w:val="center"/>
          </w:tcPr>
          <w:p w14:paraId="4AEB7D20">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分项内容</w:t>
            </w:r>
          </w:p>
        </w:tc>
        <w:tc>
          <w:tcPr>
            <w:tcW w:w="1808" w:type="dxa"/>
            <w:vAlign w:val="center"/>
          </w:tcPr>
          <w:p w14:paraId="4471B18C">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数量</w:t>
            </w:r>
          </w:p>
        </w:tc>
        <w:tc>
          <w:tcPr>
            <w:tcW w:w="1337" w:type="dxa"/>
            <w:vAlign w:val="center"/>
          </w:tcPr>
          <w:p w14:paraId="208AC970">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单价</w:t>
            </w:r>
          </w:p>
        </w:tc>
        <w:tc>
          <w:tcPr>
            <w:tcW w:w="1739" w:type="dxa"/>
            <w:vAlign w:val="center"/>
          </w:tcPr>
          <w:p w14:paraId="06644D05">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小计（元）</w:t>
            </w:r>
          </w:p>
        </w:tc>
        <w:tc>
          <w:tcPr>
            <w:tcW w:w="2607" w:type="dxa"/>
            <w:vAlign w:val="center"/>
          </w:tcPr>
          <w:p w14:paraId="7B18EF44">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备注</w:t>
            </w:r>
          </w:p>
        </w:tc>
      </w:tr>
      <w:tr w14:paraId="644E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3CCD67DC">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r>
              <w:rPr>
                <w:rFonts w:hint="eastAsia" w:ascii="Times New Roman" w:hAnsi="Times New Roman" w:eastAsia="宋体" w:cs="宋体"/>
                <w:color w:val="000000" w:themeColor="text1"/>
                <w:sz w:val="28"/>
                <w14:textFill>
                  <w14:solidFill>
                    <w14:schemeClr w14:val="tx1"/>
                  </w14:solidFill>
                </w14:textFill>
              </w:rPr>
              <w:t>1</w:t>
            </w:r>
          </w:p>
        </w:tc>
        <w:tc>
          <w:tcPr>
            <w:tcW w:w="2013" w:type="dxa"/>
            <w:vAlign w:val="center"/>
          </w:tcPr>
          <w:p w14:paraId="3B39BA4F">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808" w:type="dxa"/>
            <w:vAlign w:val="center"/>
          </w:tcPr>
          <w:p w14:paraId="31EAA7A4">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337" w:type="dxa"/>
            <w:vAlign w:val="center"/>
          </w:tcPr>
          <w:p w14:paraId="0B23C933">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739" w:type="dxa"/>
            <w:vAlign w:val="center"/>
          </w:tcPr>
          <w:p w14:paraId="721B3F19">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2607" w:type="dxa"/>
            <w:vAlign w:val="center"/>
          </w:tcPr>
          <w:p w14:paraId="2D73EAD5">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r>
      <w:tr w14:paraId="323A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1AE7E292">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r>
              <w:rPr>
                <w:rFonts w:hint="eastAsia" w:ascii="Times New Roman" w:hAnsi="Times New Roman" w:eastAsia="宋体" w:cs="宋体"/>
                <w:color w:val="000000" w:themeColor="text1"/>
                <w:sz w:val="28"/>
                <w14:textFill>
                  <w14:solidFill>
                    <w14:schemeClr w14:val="tx1"/>
                  </w14:solidFill>
                </w14:textFill>
              </w:rPr>
              <w:t>2</w:t>
            </w:r>
          </w:p>
        </w:tc>
        <w:tc>
          <w:tcPr>
            <w:tcW w:w="2013" w:type="dxa"/>
            <w:vAlign w:val="center"/>
          </w:tcPr>
          <w:p w14:paraId="592E1462">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808" w:type="dxa"/>
            <w:vAlign w:val="center"/>
          </w:tcPr>
          <w:p w14:paraId="5F769DBA">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337" w:type="dxa"/>
            <w:vAlign w:val="center"/>
          </w:tcPr>
          <w:p w14:paraId="1F673620">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739" w:type="dxa"/>
            <w:vAlign w:val="center"/>
          </w:tcPr>
          <w:p w14:paraId="35ACC949">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2607" w:type="dxa"/>
            <w:vAlign w:val="center"/>
          </w:tcPr>
          <w:p w14:paraId="7FE9AEAA">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r>
      <w:tr w14:paraId="5992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66773267">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r>
              <w:rPr>
                <w:rFonts w:hint="eastAsia" w:ascii="Times New Roman" w:hAnsi="Times New Roman" w:eastAsia="宋体" w:cs="宋体"/>
                <w:color w:val="000000" w:themeColor="text1"/>
                <w:sz w:val="28"/>
                <w14:textFill>
                  <w14:solidFill>
                    <w14:schemeClr w14:val="tx1"/>
                  </w14:solidFill>
                </w14:textFill>
              </w:rPr>
              <w:t>3</w:t>
            </w:r>
          </w:p>
        </w:tc>
        <w:tc>
          <w:tcPr>
            <w:tcW w:w="2013" w:type="dxa"/>
            <w:vAlign w:val="center"/>
          </w:tcPr>
          <w:p w14:paraId="30B8B738">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808" w:type="dxa"/>
            <w:vAlign w:val="center"/>
          </w:tcPr>
          <w:p w14:paraId="452836FD">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337" w:type="dxa"/>
            <w:vAlign w:val="center"/>
          </w:tcPr>
          <w:p w14:paraId="5AAC5EAF">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739" w:type="dxa"/>
            <w:vAlign w:val="center"/>
          </w:tcPr>
          <w:p w14:paraId="67C5FEB0">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2607" w:type="dxa"/>
            <w:vAlign w:val="center"/>
          </w:tcPr>
          <w:p w14:paraId="661F1026">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r>
      <w:tr w14:paraId="2DF3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2E178236">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r>
              <w:rPr>
                <w:rFonts w:hint="eastAsia" w:ascii="Times New Roman" w:hAnsi="Times New Roman" w:eastAsia="宋体" w:cs="宋体"/>
                <w:color w:val="000000" w:themeColor="text1"/>
                <w:sz w:val="28"/>
                <w14:textFill>
                  <w14:solidFill>
                    <w14:schemeClr w14:val="tx1"/>
                  </w14:solidFill>
                </w14:textFill>
              </w:rPr>
              <w:t>4</w:t>
            </w:r>
          </w:p>
        </w:tc>
        <w:tc>
          <w:tcPr>
            <w:tcW w:w="2013" w:type="dxa"/>
            <w:vAlign w:val="center"/>
          </w:tcPr>
          <w:p w14:paraId="64EB09AD">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808" w:type="dxa"/>
            <w:vAlign w:val="center"/>
          </w:tcPr>
          <w:p w14:paraId="3CAFE339">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337" w:type="dxa"/>
            <w:vAlign w:val="center"/>
          </w:tcPr>
          <w:p w14:paraId="36644864">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739" w:type="dxa"/>
            <w:vAlign w:val="center"/>
          </w:tcPr>
          <w:p w14:paraId="485694F2">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2607" w:type="dxa"/>
            <w:vAlign w:val="center"/>
          </w:tcPr>
          <w:p w14:paraId="7177FF98">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r>
      <w:tr w14:paraId="09D5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2CBA0D44">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r>
              <w:rPr>
                <w:rFonts w:hint="eastAsia" w:ascii="Times New Roman" w:hAnsi="Times New Roman" w:eastAsia="宋体" w:cs="宋体"/>
                <w:color w:val="000000" w:themeColor="text1"/>
                <w:sz w:val="28"/>
                <w14:textFill>
                  <w14:solidFill>
                    <w14:schemeClr w14:val="tx1"/>
                  </w14:solidFill>
                </w14:textFill>
              </w:rPr>
              <w:t>……</w:t>
            </w:r>
          </w:p>
        </w:tc>
        <w:tc>
          <w:tcPr>
            <w:tcW w:w="2013" w:type="dxa"/>
            <w:vAlign w:val="center"/>
          </w:tcPr>
          <w:p w14:paraId="579804D7">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808" w:type="dxa"/>
            <w:vAlign w:val="center"/>
          </w:tcPr>
          <w:p w14:paraId="371055F8">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337" w:type="dxa"/>
            <w:vAlign w:val="center"/>
          </w:tcPr>
          <w:p w14:paraId="76B6E89A">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1739" w:type="dxa"/>
            <w:vAlign w:val="center"/>
          </w:tcPr>
          <w:p w14:paraId="2C5D3DFA">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c>
          <w:tcPr>
            <w:tcW w:w="2607" w:type="dxa"/>
            <w:vAlign w:val="center"/>
          </w:tcPr>
          <w:p w14:paraId="4FF5EC09">
            <w:pPr>
              <w:spacing w:line="276" w:lineRule="auto"/>
              <w:jc w:val="center"/>
              <w:rPr>
                <w:rFonts w:hint="eastAsia" w:ascii="Times New Roman" w:hAnsi="Times New Roman" w:eastAsia="宋体" w:cs="宋体"/>
                <w:color w:val="000000" w:themeColor="text1"/>
                <w:sz w:val="28"/>
                <w14:textFill>
                  <w14:solidFill>
                    <w14:schemeClr w14:val="tx1"/>
                  </w14:solidFill>
                </w14:textFill>
              </w:rPr>
            </w:pPr>
          </w:p>
        </w:tc>
      </w:tr>
      <w:tr w14:paraId="757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2787" w:type="dxa"/>
            <w:gridSpan w:val="2"/>
            <w:vAlign w:val="center"/>
          </w:tcPr>
          <w:p w14:paraId="351349FC">
            <w:pPr>
              <w:spacing w:line="276" w:lineRule="auto"/>
              <w:jc w:val="center"/>
              <w:rPr>
                <w:rFonts w:hint="eastAsia" w:ascii="Times New Roman" w:hAnsi="Times New Roman" w:eastAsia="宋体" w:cs="宋体"/>
                <w:b/>
                <w:color w:val="000000" w:themeColor="text1"/>
                <w:sz w:val="24"/>
                <w14:textFill>
                  <w14:solidFill>
                    <w14:schemeClr w14:val="tx1"/>
                  </w14:solidFill>
                </w14:textFill>
              </w:rPr>
            </w:pPr>
            <w:r>
              <w:rPr>
                <w:rFonts w:hint="eastAsia" w:ascii="Times New Roman" w:hAnsi="Times New Roman" w:eastAsia="宋体" w:cs="宋体"/>
                <w:b/>
                <w:color w:val="000000" w:themeColor="text1"/>
                <w:sz w:val="24"/>
                <w14:textFill>
                  <w14:solidFill>
                    <w14:schemeClr w14:val="tx1"/>
                  </w14:solidFill>
                </w14:textFill>
              </w:rPr>
              <w:t>总           价</w:t>
            </w:r>
          </w:p>
        </w:tc>
        <w:tc>
          <w:tcPr>
            <w:tcW w:w="7492" w:type="dxa"/>
            <w:gridSpan w:val="4"/>
            <w:vAlign w:val="center"/>
          </w:tcPr>
          <w:p w14:paraId="4AD2F311">
            <w:pPr>
              <w:spacing w:line="276" w:lineRule="auto"/>
              <w:jc w:val="center"/>
              <w:rPr>
                <w:rFonts w:hint="eastAsia" w:ascii="Times New Roman" w:hAnsi="Times New Roman" w:eastAsia="宋体" w:cs="宋体"/>
                <w:color w:val="000000" w:themeColor="text1"/>
                <w:sz w:val="24"/>
                <w14:textFill>
                  <w14:solidFill>
                    <w14:schemeClr w14:val="tx1"/>
                  </w14:solidFill>
                </w14:textFill>
              </w:rPr>
            </w:pPr>
          </w:p>
        </w:tc>
      </w:tr>
    </w:tbl>
    <w:p w14:paraId="406751CD">
      <w:pPr>
        <w:pStyle w:val="4"/>
        <w:snapToGrid w:val="0"/>
        <w:spacing w:line="360" w:lineRule="auto"/>
        <w:ind w:firstLine="480" w:firstLineChars="200"/>
        <w:rPr>
          <w:rFonts w:hint="eastAsia" w:ascii="Times New Roman" w:hAnsi="Times New Roman" w:eastAsia="宋体" w:cs="宋体"/>
          <w:color w:val="000000"/>
          <w:sz w:val="24"/>
          <w:lang w:val="zh-CN"/>
        </w:rPr>
      </w:pPr>
    </w:p>
    <w:p w14:paraId="2861A348">
      <w:pPr>
        <w:spacing w:line="360" w:lineRule="auto"/>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sz w:val="24"/>
          <w:lang w:val="zh-CN"/>
        </w:rPr>
        <w:t>注：</w:t>
      </w:r>
      <w:r>
        <w:rPr>
          <w:rFonts w:hint="eastAsia" w:ascii="Times New Roman" w:hAnsi="Times New Roman" w:eastAsia="宋体" w:cs="宋体"/>
          <w:color w:val="000000"/>
          <w:sz w:val="24"/>
        </w:rPr>
        <w:t>1、可根据具体情况调整报价明细清单格式，但应包括项目涉及的一切相关税、费等费用。</w:t>
      </w:r>
    </w:p>
    <w:p w14:paraId="36CD6416">
      <w:pPr>
        <w:autoSpaceDE w:val="0"/>
        <w:autoSpaceDN w:val="0"/>
        <w:adjustRightInd w:val="0"/>
        <w:spacing w:line="360" w:lineRule="auto"/>
        <w:ind w:firstLine="480" w:firstLineChars="20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2、报价明细清单中合计总价应与相应总报价一致。</w:t>
      </w:r>
    </w:p>
    <w:p w14:paraId="0A2CADD3">
      <w:pPr>
        <w:autoSpaceDE w:val="0"/>
        <w:spacing w:after="312" w:afterLines="100"/>
        <w:jc w:val="center"/>
        <w:rPr>
          <w:rFonts w:hint="eastAsia" w:ascii="Times New Roman" w:hAnsi="Times New Roman" w:eastAsia="宋体" w:cs="宋体"/>
          <w:b/>
          <w:bCs/>
          <w:sz w:val="24"/>
          <w:szCs w:val="24"/>
        </w:rPr>
      </w:pPr>
    </w:p>
    <w:p w14:paraId="73F9CBAA">
      <w:pPr>
        <w:autoSpaceDE w:val="0"/>
        <w:spacing w:after="312" w:afterLines="100"/>
        <w:jc w:val="center"/>
        <w:rPr>
          <w:rFonts w:hint="eastAsia" w:ascii="Times New Roman" w:hAnsi="Times New Roman" w:eastAsia="宋体" w:cs="宋体"/>
          <w:b/>
          <w:bCs/>
          <w:sz w:val="24"/>
          <w:szCs w:val="24"/>
        </w:rPr>
      </w:pPr>
    </w:p>
    <w:p w14:paraId="2F735055">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报价人：（盖章）</w:t>
      </w:r>
    </w:p>
    <w:p w14:paraId="7E3AD34A">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执行事务合伙人或委托代理人：（签字或盖个人章）</w:t>
      </w:r>
    </w:p>
    <w:p w14:paraId="5EBCA7E4">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日期</w:t>
      </w:r>
      <w:r>
        <w:rPr>
          <w:rFonts w:hint="eastAsia" w:ascii="Times New Roman" w:hAnsi="Times New Roman" w:cs="宋体"/>
          <w:sz w:val="24"/>
          <w:szCs w:val="24"/>
          <w:lang w:eastAsia="zh-CN"/>
        </w:rPr>
        <w:t>：</w:t>
      </w:r>
      <w:r>
        <w:rPr>
          <w:rFonts w:hint="eastAsia" w:ascii="Times New Roman" w:hAnsi="Times New Roman" w:eastAsia="宋体" w:cs="宋体"/>
          <w:sz w:val="24"/>
          <w:szCs w:val="24"/>
        </w:rPr>
        <w:t xml:space="preserve">    年    月    日</w:t>
      </w:r>
    </w:p>
    <w:p w14:paraId="0A2051C1">
      <w:pPr>
        <w:widowControl/>
        <w:jc w:val="left"/>
        <w:rPr>
          <w:rFonts w:hint="eastAsia" w:ascii="Times New Roman" w:hAnsi="Times New Roman" w:eastAsia="宋体" w:cs="宋体"/>
          <w:sz w:val="24"/>
          <w:szCs w:val="24"/>
        </w:rPr>
      </w:pPr>
      <w:r>
        <w:rPr>
          <w:rFonts w:hint="eastAsia" w:ascii="Times New Roman" w:hAnsi="Times New Roman" w:eastAsia="宋体" w:cs="宋体"/>
          <w:sz w:val="24"/>
          <w:szCs w:val="24"/>
        </w:rPr>
        <w:br w:type="page"/>
      </w:r>
    </w:p>
    <w:p w14:paraId="17A0E756">
      <w:pPr>
        <w:pStyle w:val="9"/>
        <w:rPr>
          <w:rFonts w:hint="eastAsia" w:ascii="Times New Roman" w:hAnsi="Times New Roman" w:eastAsia="宋体" w:cs="宋体"/>
          <w:kern w:val="0"/>
          <w:sz w:val="24"/>
          <w:lang w:val="en-US"/>
        </w:rPr>
      </w:pPr>
      <w:r>
        <w:rPr>
          <w:rFonts w:hint="eastAsia" w:ascii="Times New Roman" w:hAnsi="Times New Roman" w:cs="宋体"/>
          <w:kern w:val="0"/>
          <w:sz w:val="24"/>
          <w:lang w:val="en-US" w:eastAsia="zh-CN"/>
        </w:rPr>
        <w:t>6</w:t>
      </w:r>
      <w:r>
        <w:rPr>
          <w:rFonts w:hint="eastAsia" w:ascii="Times New Roman" w:hAnsi="Times New Roman" w:eastAsia="宋体" w:cs="宋体"/>
          <w:kern w:val="0"/>
          <w:sz w:val="24"/>
          <w:lang w:val="en-US"/>
        </w:rPr>
        <w:t>、审计方案</w:t>
      </w:r>
    </w:p>
    <w:p w14:paraId="58A9C37E">
      <w:pPr>
        <w:widowControl/>
        <w:jc w:val="left"/>
        <w:rPr>
          <w:rFonts w:hint="eastAsia" w:ascii="Times New Roman" w:hAnsi="Times New Roman" w:eastAsia="宋体" w:cs="宋体"/>
        </w:rPr>
      </w:pPr>
    </w:p>
    <w:p w14:paraId="6974A4B2">
      <w:pPr>
        <w:widowControl/>
        <w:jc w:val="left"/>
        <w:rPr>
          <w:rFonts w:hint="eastAsia" w:ascii="Times New Roman" w:hAnsi="Times New Roman" w:eastAsia="宋体" w:cs="宋体"/>
        </w:rPr>
      </w:pPr>
      <w:r>
        <w:rPr>
          <w:rFonts w:hint="eastAsia" w:ascii="Times New Roman" w:hAnsi="Times New Roman" w:eastAsia="宋体" w:cs="宋体"/>
        </w:rPr>
        <w:t>格式自拟</w:t>
      </w:r>
    </w:p>
    <w:p w14:paraId="47B60D24">
      <w:pPr>
        <w:widowControl/>
        <w:jc w:val="left"/>
        <w:rPr>
          <w:rFonts w:hint="eastAsia" w:ascii="Times New Roman" w:hAnsi="Times New Roman" w:eastAsia="宋体" w:cs="宋体"/>
        </w:rPr>
      </w:pPr>
    </w:p>
    <w:p w14:paraId="116CE4B4">
      <w:pPr>
        <w:widowControl/>
        <w:jc w:val="left"/>
        <w:rPr>
          <w:rFonts w:hint="eastAsia" w:ascii="Times New Roman" w:hAnsi="Times New Roman" w:eastAsia="宋体" w:cs="宋体"/>
        </w:rPr>
      </w:pPr>
    </w:p>
    <w:p w14:paraId="073A0F65">
      <w:pPr>
        <w:widowControl/>
        <w:jc w:val="left"/>
        <w:rPr>
          <w:rFonts w:hint="eastAsia" w:ascii="Times New Roman" w:hAnsi="Times New Roman" w:eastAsia="宋体" w:cs="宋体"/>
        </w:rPr>
      </w:pPr>
    </w:p>
    <w:p w14:paraId="7398FD6F">
      <w:pPr>
        <w:widowControl/>
        <w:jc w:val="left"/>
        <w:rPr>
          <w:rFonts w:hint="eastAsia" w:ascii="Times New Roman" w:hAnsi="Times New Roman" w:eastAsia="宋体" w:cs="宋体"/>
        </w:rPr>
      </w:pPr>
    </w:p>
    <w:p w14:paraId="43C6D518">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报价人：（盖章）</w:t>
      </w:r>
    </w:p>
    <w:p w14:paraId="6CEDDF17">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执行事务合伙人或委托代理人：（签字或盖个人章）</w:t>
      </w:r>
    </w:p>
    <w:p w14:paraId="6298C182">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日期</w:t>
      </w:r>
      <w:r>
        <w:rPr>
          <w:rFonts w:hint="eastAsia" w:ascii="Times New Roman" w:hAnsi="Times New Roman" w:cs="宋体"/>
          <w:sz w:val="24"/>
          <w:szCs w:val="24"/>
          <w:lang w:eastAsia="zh-CN"/>
        </w:rPr>
        <w:t>：</w:t>
      </w:r>
      <w:r>
        <w:rPr>
          <w:rFonts w:hint="eastAsia" w:ascii="Times New Roman" w:hAnsi="Times New Roman" w:eastAsia="宋体" w:cs="宋体"/>
          <w:sz w:val="24"/>
          <w:szCs w:val="24"/>
        </w:rPr>
        <w:t xml:space="preserve">    年    月    日</w:t>
      </w:r>
    </w:p>
    <w:p w14:paraId="61A7F7B2">
      <w:pPr>
        <w:widowControl/>
        <w:jc w:val="left"/>
        <w:rPr>
          <w:rFonts w:hint="eastAsia" w:ascii="Times New Roman" w:hAnsi="Times New Roman" w:eastAsia="宋体" w:cs="宋体"/>
        </w:rPr>
      </w:pPr>
    </w:p>
    <w:p w14:paraId="0E9AE79F">
      <w:pPr>
        <w:rPr>
          <w:rFonts w:hint="eastAsia" w:ascii="Times New Roman" w:hAnsi="Times New Roman" w:eastAsia="宋体" w:cs="宋体"/>
          <w:b/>
          <w:bCs/>
          <w:kern w:val="0"/>
          <w:sz w:val="24"/>
          <w:szCs w:val="32"/>
        </w:rPr>
        <w:sectPr>
          <w:headerReference r:id="rId3" w:type="default"/>
          <w:footerReference r:id="rId4" w:type="default"/>
          <w:pgSz w:w="11905" w:h="16838"/>
          <w:pgMar w:top="1440" w:right="1123" w:bottom="1440" w:left="1123" w:header="720" w:footer="720" w:gutter="0"/>
          <w:cols w:space="0" w:num="1"/>
          <w:docGrid w:linePitch="312" w:charSpace="0"/>
        </w:sectPr>
      </w:pPr>
    </w:p>
    <w:p w14:paraId="32F47AF8">
      <w:pPr>
        <w:pStyle w:val="9"/>
        <w:rPr>
          <w:rFonts w:hint="eastAsia" w:ascii="Times New Roman" w:hAnsi="Times New Roman" w:eastAsia="宋体" w:cs="宋体"/>
          <w:b w:val="0"/>
          <w:bCs w:val="0"/>
          <w:kern w:val="0"/>
          <w:sz w:val="24"/>
          <w:szCs w:val="22"/>
        </w:rPr>
      </w:pPr>
      <w:r>
        <w:rPr>
          <w:rFonts w:hint="eastAsia" w:ascii="Times New Roman" w:hAnsi="Times New Roman" w:cs="宋体"/>
          <w:lang w:val="en-US" w:eastAsia="zh-CN"/>
        </w:rPr>
        <w:t>7</w:t>
      </w:r>
      <w:r>
        <w:rPr>
          <w:rFonts w:hint="eastAsia" w:ascii="Times New Roman" w:hAnsi="Times New Roman" w:eastAsia="宋体" w:cs="宋体"/>
          <w:b w:val="0"/>
          <w:bCs w:val="0"/>
          <w:kern w:val="0"/>
          <w:sz w:val="24"/>
          <w:szCs w:val="22"/>
        </w:rPr>
        <w:t>、审计质量控制制度和控制方案</w:t>
      </w:r>
    </w:p>
    <w:p w14:paraId="6C942F76">
      <w:pPr>
        <w:widowControl/>
        <w:jc w:val="left"/>
        <w:rPr>
          <w:rFonts w:hint="eastAsia" w:ascii="Times New Roman" w:hAnsi="Times New Roman" w:eastAsia="宋体" w:cs="宋体"/>
        </w:rPr>
      </w:pPr>
    </w:p>
    <w:p w14:paraId="44E554EE">
      <w:pPr>
        <w:widowControl/>
        <w:jc w:val="left"/>
        <w:rPr>
          <w:rFonts w:hint="eastAsia" w:ascii="Times New Roman" w:hAnsi="Times New Roman" w:eastAsia="宋体" w:cs="宋体"/>
        </w:rPr>
      </w:pPr>
      <w:r>
        <w:rPr>
          <w:rFonts w:hint="eastAsia" w:ascii="Times New Roman" w:hAnsi="Times New Roman" w:eastAsia="宋体" w:cs="宋体"/>
        </w:rPr>
        <w:t>格式自拟，内容包含但不限于审计质量控制制度和控制方案</w:t>
      </w:r>
    </w:p>
    <w:p w14:paraId="21E8B689">
      <w:pPr>
        <w:widowControl/>
        <w:jc w:val="left"/>
        <w:rPr>
          <w:rFonts w:hint="eastAsia" w:ascii="Times New Roman" w:hAnsi="Times New Roman" w:eastAsia="宋体" w:cs="宋体"/>
        </w:rPr>
      </w:pPr>
    </w:p>
    <w:p w14:paraId="1F71333F">
      <w:pPr>
        <w:widowControl/>
        <w:jc w:val="left"/>
        <w:rPr>
          <w:rFonts w:hint="eastAsia" w:ascii="Times New Roman" w:hAnsi="Times New Roman" w:eastAsia="宋体" w:cs="宋体"/>
        </w:rPr>
      </w:pPr>
    </w:p>
    <w:p w14:paraId="27388719">
      <w:pPr>
        <w:widowControl/>
        <w:jc w:val="left"/>
        <w:rPr>
          <w:rFonts w:hint="eastAsia" w:ascii="Times New Roman" w:hAnsi="Times New Roman" w:eastAsia="宋体" w:cs="宋体"/>
        </w:rPr>
      </w:pPr>
    </w:p>
    <w:p w14:paraId="358536D3">
      <w:pPr>
        <w:widowControl/>
        <w:jc w:val="left"/>
        <w:rPr>
          <w:rFonts w:hint="eastAsia" w:ascii="Times New Roman" w:hAnsi="Times New Roman" w:eastAsia="宋体" w:cs="宋体"/>
        </w:rPr>
      </w:pPr>
    </w:p>
    <w:p w14:paraId="132C36CB">
      <w:pPr>
        <w:widowControl/>
        <w:jc w:val="left"/>
        <w:rPr>
          <w:rFonts w:hint="eastAsia" w:ascii="Times New Roman" w:hAnsi="Times New Roman" w:eastAsia="宋体" w:cs="宋体"/>
        </w:rPr>
      </w:pPr>
    </w:p>
    <w:p w14:paraId="40DA2C26">
      <w:pPr>
        <w:widowControl/>
        <w:jc w:val="left"/>
        <w:rPr>
          <w:rFonts w:hint="eastAsia" w:ascii="Times New Roman" w:hAnsi="Times New Roman" w:eastAsia="宋体" w:cs="宋体"/>
        </w:rPr>
      </w:pPr>
    </w:p>
    <w:p w14:paraId="38B74D77">
      <w:pPr>
        <w:widowControl/>
        <w:jc w:val="left"/>
        <w:rPr>
          <w:rFonts w:hint="eastAsia" w:ascii="Times New Roman" w:hAnsi="Times New Roman" w:eastAsia="宋体" w:cs="宋体"/>
        </w:rPr>
      </w:pPr>
    </w:p>
    <w:p w14:paraId="6139780C">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报价人：（盖章）</w:t>
      </w:r>
    </w:p>
    <w:p w14:paraId="30F3B242">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法定代表人或法定代表授权委托人：（签字或盖个人章）</w:t>
      </w:r>
    </w:p>
    <w:p w14:paraId="608B638A">
      <w:pPr>
        <w:spacing w:line="600" w:lineRule="auto"/>
        <w:ind w:left="945" w:hanging="945"/>
        <w:rPr>
          <w:rFonts w:hint="eastAsia" w:ascii="Times New Roman" w:hAnsi="Times New Roman" w:eastAsia="宋体" w:cs="宋体"/>
          <w:sz w:val="24"/>
          <w:szCs w:val="24"/>
        </w:rPr>
      </w:pPr>
      <w:r>
        <w:rPr>
          <w:rFonts w:hint="eastAsia" w:ascii="Times New Roman" w:hAnsi="Times New Roman" w:eastAsia="宋体" w:cs="宋体"/>
          <w:sz w:val="24"/>
          <w:szCs w:val="24"/>
        </w:rPr>
        <w:t>日期</w:t>
      </w:r>
      <w:r>
        <w:rPr>
          <w:rFonts w:hint="eastAsia" w:ascii="Times New Roman" w:hAnsi="Times New Roman" w:cs="宋体"/>
          <w:sz w:val="24"/>
          <w:szCs w:val="24"/>
          <w:lang w:eastAsia="zh-CN"/>
        </w:rPr>
        <w:t>：</w:t>
      </w:r>
      <w:r>
        <w:rPr>
          <w:rFonts w:hint="eastAsia" w:ascii="Times New Roman" w:hAnsi="Times New Roman" w:eastAsia="宋体" w:cs="宋体"/>
          <w:sz w:val="24"/>
          <w:szCs w:val="24"/>
        </w:rPr>
        <w:t xml:space="preserve">    年    月    日</w:t>
      </w:r>
    </w:p>
    <w:p w14:paraId="424445D1">
      <w:pPr>
        <w:widowControl/>
        <w:jc w:val="left"/>
        <w:rPr>
          <w:rFonts w:hint="eastAsia" w:ascii="Times New Roman" w:hAnsi="Times New Roman" w:eastAsia="宋体" w:cs="宋体"/>
        </w:rPr>
      </w:pPr>
    </w:p>
    <w:p w14:paraId="3D5D2EF4">
      <w:pPr>
        <w:pStyle w:val="9"/>
        <w:rPr>
          <w:rFonts w:hint="eastAsia" w:ascii="Times New Roman" w:hAnsi="Times New Roman" w:eastAsia="宋体" w:cs="宋体"/>
          <w:b/>
          <w:bCs/>
        </w:rPr>
      </w:pPr>
    </w:p>
    <w:p w14:paraId="15733E71">
      <w:pPr>
        <w:pStyle w:val="9"/>
        <w:rPr>
          <w:rFonts w:hint="eastAsia" w:ascii="Times New Roman" w:hAnsi="Times New Roman" w:eastAsia="宋体" w:cs="宋体"/>
          <w:b/>
          <w:bCs/>
        </w:rPr>
      </w:pPr>
    </w:p>
    <w:p w14:paraId="63474C41">
      <w:pPr>
        <w:widowControl/>
        <w:jc w:val="left"/>
        <w:rPr>
          <w:rFonts w:hint="eastAsia" w:ascii="Times New Roman" w:hAnsi="Times New Roman" w:eastAsia="宋体" w:cs="宋体"/>
        </w:rPr>
      </w:pPr>
    </w:p>
    <w:p w14:paraId="2481FADF">
      <w:pPr>
        <w:widowControl/>
        <w:jc w:val="left"/>
        <w:rPr>
          <w:rFonts w:hint="eastAsia" w:ascii="Times New Roman" w:hAnsi="Times New Roman" w:eastAsia="宋体" w:cs="宋体"/>
        </w:rPr>
      </w:pPr>
    </w:p>
    <w:p w14:paraId="21E61E74">
      <w:pPr>
        <w:widowControl/>
        <w:jc w:val="left"/>
        <w:rPr>
          <w:rFonts w:hint="eastAsia" w:ascii="Times New Roman" w:hAnsi="Times New Roman" w:eastAsia="宋体" w:cs="宋体"/>
          <w:b/>
          <w:bCs/>
          <w:kern w:val="0"/>
          <w:sz w:val="24"/>
          <w:szCs w:val="32"/>
        </w:rPr>
      </w:pPr>
      <w:r>
        <w:rPr>
          <w:rFonts w:hint="eastAsia" w:ascii="Times New Roman" w:hAnsi="Times New Roman" w:eastAsia="宋体" w:cs="宋体"/>
        </w:rPr>
        <w:br w:type="page"/>
      </w:r>
    </w:p>
    <w:p w14:paraId="4BB3B675">
      <w:pPr>
        <w:widowControl/>
        <w:jc w:val="left"/>
        <w:rPr>
          <w:b/>
          <w:bCs/>
          <w:kern w:val="0"/>
          <w:sz w:val="24"/>
          <w:szCs w:val="32"/>
        </w:rPr>
      </w:pP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76"/>
        <w:gridCol w:w="5911"/>
        <w:gridCol w:w="696"/>
        <w:gridCol w:w="602"/>
      </w:tblGrid>
      <w:tr w14:paraId="0BAA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8527" w:type="dxa"/>
            <w:gridSpan w:val="5"/>
            <w:tcBorders>
              <w:top w:val="nil"/>
              <w:left w:val="nil"/>
              <w:bottom w:val="nil"/>
              <w:right w:val="nil"/>
            </w:tcBorders>
            <w:shd w:val="clear" w:color="auto" w:fill="FFFFFF" w:themeFill="background1"/>
          </w:tcPr>
          <w:p w14:paraId="468A1F03">
            <w:pPr>
              <w:tabs>
                <w:tab w:val="left" w:pos="5586"/>
              </w:tabs>
              <w:jc w:val="center"/>
              <w:rPr>
                <w:rFonts w:ascii="宋体" w:hAnsi="宋体"/>
                <w:b/>
                <w:sz w:val="24"/>
                <w:szCs w:val="21"/>
              </w:rPr>
            </w:pPr>
            <w:r>
              <w:rPr>
                <w:rFonts w:hint="eastAsia" w:ascii="宋体" w:hAnsi="宋体"/>
                <w:b/>
                <w:sz w:val="24"/>
                <w:szCs w:val="21"/>
                <w:lang w:eastAsia="zh-CN"/>
              </w:rPr>
              <w:t>广东万里马实业</w:t>
            </w:r>
            <w:r>
              <w:rPr>
                <w:rFonts w:hint="eastAsia" w:ascii="宋体" w:hAnsi="宋体"/>
                <w:b/>
                <w:sz w:val="24"/>
                <w:szCs w:val="21"/>
              </w:rPr>
              <w:t>股份有限公司</w:t>
            </w:r>
          </w:p>
          <w:p w14:paraId="2F2F9A81">
            <w:pPr>
              <w:jc w:val="center"/>
              <w:rPr>
                <w:rFonts w:ascii="宋体" w:hAnsi="宋体"/>
                <w:b/>
                <w:szCs w:val="21"/>
              </w:rPr>
            </w:pPr>
            <w:r>
              <w:rPr>
                <w:rFonts w:hint="eastAsia" w:ascii="宋体" w:hAnsi="宋体"/>
                <w:b/>
                <w:sz w:val="24"/>
                <w:szCs w:val="21"/>
              </w:rPr>
              <w:t>选聘会计师事务所评价表</w:t>
            </w:r>
          </w:p>
        </w:tc>
      </w:tr>
      <w:tr w14:paraId="673B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8527" w:type="dxa"/>
            <w:gridSpan w:val="5"/>
            <w:tcBorders>
              <w:top w:val="nil"/>
              <w:left w:val="nil"/>
              <w:bottom w:val="single" w:color="auto" w:sz="4" w:space="0"/>
              <w:right w:val="nil"/>
            </w:tcBorders>
            <w:shd w:val="clear" w:color="auto" w:fill="FFFFFF" w:themeFill="background1"/>
            <w:vAlign w:val="center"/>
          </w:tcPr>
          <w:p w14:paraId="2A27A182">
            <w:pPr>
              <w:tabs>
                <w:tab w:val="left" w:pos="5586"/>
              </w:tabs>
              <w:jc w:val="left"/>
              <w:rPr>
                <w:rFonts w:ascii="宋体" w:hAnsi="宋体"/>
                <w:b/>
                <w:szCs w:val="21"/>
              </w:rPr>
            </w:pPr>
            <w:r>
              <w:rPr>
                <w:rFonts w:hint="eastAsia" w:ascii="宋体" w:hAnsi="宋体"/>
                <w:b/>
                <w:szCs w:val="21"/>
              </w:rPr>
              <w:t>评价对象：</w:t>
            </w:r>
          </w:p>
        </w:tc>
      </w:tr>
      <w:tr w14:paraId="409F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FD11713">
            <w:pPr>
              <w:jc w:val="center"/>
              <w:rPr>
                <w:rFonts w:ascii="宋体" w:hAnsi="宋体"/>
                <w:b/>
                <w:szCs w:val="21"/>
              </w:rPr>
            </w:pPr>
            <w:r>
              <w:rPr>
                <w:rFonts w:hint="eastAsia" w:ascii="宋体" w:hAnsi="宋体"/>
                <w:b/>
                <w:szCs w:val="21"/>
              </w:rPr>
              <w:t>序号</w:t>
            </w:r>
          </w:p>
        </w:tc>
        <w:tc>
          <w:tcPr>
            <w:tcW w:w="8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915A42">
            <w:pPr>
              <w:jc w:val="center"/>
              <w:rPr>
                <w:rFonts w:ascii="宋体" w:hAnsi="宋体"/>
                <w:b/>
                <w:szCs w:val="21"/>
              </w:rPr>
            </w:pPr>
            <w:r>
              <w:rPr>
                <w:rFonts w:hint="eastAsia" w:ascii="宋体" w:hAnsi="宋体"/>
                <w:b/>
                <w:szCs w:val="21"/>
              </w:rPr>
              <w:t>评分项</w:t>
            </w:r>
          </w:p>
        </w:tc>
        <w:tc>
          <w:tcPr>
            <w:tcW w:w="591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5B0B6D">
            <w:pPr>
              <w:jc w:val="center"/>
              <w:rPr>
                <w:rFonts w:ascii="宋体" w:hAnsi="宋体"/>
                <w:b/>
                <w:szCs w:val="21"/>
              </w:rPr>
            </w:pPr>
            <w:r>
              <w:rPr>
                <w:rFonts w:hint="eastAsia" w:ascii="宋体" w:hAnsi="宋体"/>
                <w:b/>
                <w:szCs w:val="21"/>
              </w:rPr>
              <w:t>评分内容</w:t>
            </w:r>
          </w:p>
        </w:tc>
        <w:tc>
          <w:tcPr>
            <w:tcW w:w="69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EF1E24">
            <w:pPr>
              <w:jc w:val="center"/>
              <w:rPr>
                <w:rFonts w:ascii="宋体" w:hAnsi="宋体"/>
                <w:b/>
                <w:szCs w:val="21"/>
              </w:rPr>
            </w:pPr>
            <w:r>
              <w:rPr>
                <w:rFonts w:hint="eastAsia" w:ascii="宋体" w:hAnsi="宋体"/>
                <w:b/>
                <w:szCs w:val="21"/>
              </w:rPr>
              <w:t>最高评分</w:t>
            </w:r>
          </w:p>
        </w:tc>
        <w:tc>
          <w:tcPr>
            <w:tcW w:w="60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2002F8">
            <w:pPr>
              <w:jc w:val="center"/>
              <w:rPr>
                <w:rFonts w:ascii="宋体" w:hAnsi="宋体"/>
                <w:b/>
                <w:szCs w:val="21"/>
              </w:rPr>
            </w:pPr>
            <w:r>
              <w:rPr>
                <w:rFonts w:hint="eastAsia" w:ascii="宋体" w:hAnsi="宋体"/>
                <w:b/>
                <w:szCs w:val="21"/>
              </w:rPr>
              <w:t>评分</w:t>
            </w:r>
          </w:p>
        </w:tc>
      </w:tr>
      <w:tr w14:paraId="04CB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0D56A89B">
            <w:pPr>
              <w:jc w:val="center"/>
              <w:rPr>
                <w:rFonts w:ascii="宋体" w:hAnsi="宋体"/>
                <w:szCs w:val="21"/>
              </w:rPr>
            </w:pPr>
            <w:r>
              <w:rPr>
                <w:rFonts w:ascii="Times New Roman" w:hAnsi="Times New Roman"/>
                <w:szCs w:val="21"/>
              </w:rPr>
              <w:t>1</w:t>
            </w:r>
          </w:p>
        </w:tc>
        <w:tc>
          <w:tcPr>
            <w:tcW w:w="876" w:type="dxa"/>
            <w:tcBorders>
              <w:top w:val="single" w:color="auto" w:sz="4" w:space="0"/>
              <w:left w:val="single" w:color="auto" w:sz="4" w:space="0"/>
              <w:bottom w:val="single" w:color="auto" w:sz="4" w:space="0"/>
              <w:right w:val="single" w:color="auto" w:sz="4" w:space="0"/>
            </w:tcBorders>
            <w:vAlign w:val="center"/>
          </w:tcPr>
          <w:p w14:paraId="337A0D9C">
            <w:pPr>
              <w:jc w:val="center"/>
              <w:rPr>
                <w:rFonts w:ascii="宋体" w:hAnsi="宋体"/>
                <w:szCs w:val="21"/>
              </w:rPr>
            </w:pPr>
            <w:r>
              <w:rPr>
                <w:rFonts w:hint="eastAsia" w:ascii="宋体" w:hAnsi="宋体"/>
                <w:szCs w:val="21"/>
              </w:rPr>
              <w:t>资质</w:t>
            </w:r>
          </w:p>
          <w:p w14:paraId="498FBC78">
            <w:pPr>
              <w:jc w:val="center"/>
              <w:rPr>
                <w:rFonts w:ascii="宋体" w:hAnsi="宋体"/>
                <w:szCs w:val="21"/>
              </w:rPr>
            </w:pPr>
            <w:r>
              <w:rPr>
                <w:rFonts w:hint="eastAsia" w:ascii="宋体" w:hAnsi="宋体"/>
                <w:szCs w:val="21"/>
              </w:rPr>
              <w:t>条件</w:t>
            </w:r>
          </w:p>
        </w:tc>
        <w:tc>
          <w:tcPr>
            <w:tcW w:w="5911" w:type="dxa"/>
            <w:tcBorders>
              <w:top w:val="single" w:color="auto" w:sz="4" w:space="0"/>
              <w:left w:val="single" w:color="auto" w:sz="4" w:space="0"/>
              <w:bottom w:val="single" w:color="auto" w:sz="4" w:space="0"/>
              <w:right w:val="single" w:color="auto" w:sz="4" w:space="0"/>
            </w:tcBorders>
            <w:vAlign w:val="center"/>
          </w:tcPr>
          <w:p w14:paraId="7806585C">
            <w:pPr>
              <w:widowControl/>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、具有独立的主体资格和执行证券、期货相关业务资格；</w:t>
            </w:r>
            <w:r>
              <w:rPr>
                <w:rFonts w:hint="eastAsia" w:ascii="宋体" w:hAnsi="宋体"/>
                <w:color w:val="000000"/>
                <w:szCs w:val="21"/>
              </w:rPr>
              <w:br w:type="textWrapping"/>
            </w:r>
            <w:r>
              <w:rPr>
                <w:rFonts w:ascii="Times New Roman" w:hAnsi="Times New Roman"/>
                <w:color w:val="000000"/>
                <w:szCs w:val="21"/>
              </w:rPr>
              <w:t>2</w:t>
            </w:r>
            <w:r>
              <w:rPr>
                <w:rFonts w:hint="eastAsia" w:ascii="宋体" w:hAnsi="宋体"/>
                <w:color w:val="000000"/>
                <w:szCs w:val="21"/>
              </w:rPr>
              <w:t>、具有固定的工作场所、健全的组织机构和完善的内部管理和控制制度；</w:t>
            </w:r>
            <w:r>
              <w:rPr>
                <w:rFonts w:hint="eastAsia" w:ascii="宋体" w:hAnsi="宋体"/>
                <w:color w:val="000000"/>
                <w:szCs w:val="21"/>
              </w:rPr>
              <w:br w:type="textWrapping"/>
            </w:r>
            <w:r>
              <w:rPr>
                <w:rFonts w:ascii="Times New Roman" w:hAnsi="Times New Roman"/>
                <w:color w:val="000000"/>
                <w:szCs w:val="21"/>
              </w:rPr>
              <w:t>3</w:t>
            </w:r>
            <w:r>
              <w:rPr>
                <w:rFonts w:hint="eastAsia" w:ascii="宋体" w:hAnsi="宋体"/>
                <w:color w:val="000000"/>
                <w:szCs w:val="21"/>
              </w:rPr>
              <w:t>、熟悉国家有关财务会计方面的法律法规、规章和政策。</w:t>
            </w:r>
          </w:p>
        </w:tc>
        <w:tc>
          <w:tcPr>
            <w:tcW w:w="696" w:type="dxa"/>
            <w:tcBorders>
              <w:top w:val="single" w:color="auto" w:sz="4" w:space="0"/>
              <w:left w:val="single" w:color="auto" w:sz="4" w:space="0"/>
              <w:bottom w:val="single" w:color="auto" w:sz="4" w:space="0"/>
              <w:right w:val="single" w:color="auto" w:sz="4" w:space="0"/>
            </w:tcBorders>
            <w:vAlign w:val="center"/>
          </w:tcPr>
          <w:p w14:paraId="1326C322">
            <w:pPr>
              <w:ind w:firstLine="18" w:firstLineChars="9"/>
              <w:jc w:val="center"/>
              <w:rPr>
                <w:rFonts w:ascii="宋体" w:hAnsi="宋体"/>
                <w:szCs w:val="21"/>
              </w:rPr>
            </w:pPr>
            <w:r>
              <w:rPr>
                <w:rFonts w:ascii="Times New Roman" w:hAnsi="Times New Roman"/>
                <w:szCs w:val="21"/>
              </w:rPr>
              <w:t>10</w:t>
            </w:r>
          </w:p>
        </w:tc>
        <w:tc>
          <w:tcPr>
            <w:tcW w:w="602" w:type="dxa"/>
            <w:tcBorders>
              <w:top w:val="single" w:color="auto" w:sz="4" w:space="0"/>
              <w:left w:val="single" w:color="auto" w:sz="4" w:space="0"/>
              <w:bottom w:val="single" w:color="auto" w:sz="4" w:space="0"/>
              <w:right w:val="single" w:color="auto" w:sz="4" w:space="0"/>
            </w:tcBorders>
          </w:tcPr>
          <w:p w14:paraId="0E94522C">
            <w:pPr>
              <w:jc w:val="center"/>
              <w:rPr>
                <w:rFonts w:ascii="宋体" w:hAnsi="宋体"/>
                <w:b/>
                <w:szCs w:val="21"/>
              </w:rPr>
            </w:pPr>
          </w:p>
        </w:tc>
      </w:tr>
      <w:tr w14:paraId="01B9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01D3237F">
            <w:pPr>
              <w:snapToGrid w:val="0"/>
              <w:jc w:val="center"/>
              <w:rPr>
                <w:rFonts w:ascii="宋体" w:hAnsi="宋体"/>
                <w:szCs w:val="21"/>
              </w:rPr>
            </w:pPr>
            <w:r>
              <w:rPr>
                <w:rFonts w:ascii="Times New Roman" w:hAnsi="Times New Roman"/>
                <w:szCs w:val="21"/>
              </w:rPr>
              <w:t>2</w:t>
            </w:r>
          </w:p>
        </w:tc>
        <w:tc>
          <w:tcPr>
            <w:tcW w:w="876" w:type="dxa"/>
            <w:tcBorders>
              <w:top w:val="single" w:color="auto" w:sz="4" w:space="0"/>
              <w:left w:val="single" w:color="auto" w:sz="4" w:space="0"/>
              <w:bottom w:val="single" w:color="auto" w:sz="4" w:space="0"/>
              <w:right w:val="single" w:color="auto" w:sz="4" w:space="0"/>
            </w:tcBorders>
            <w:vAlign w:val="center"/>
          </w:tcPr>
          <w:p w14:paraId="49869DF5">
            <w:pPr>
              <w:jc w:val="center"/>
              <w:rPr>
                <w:rFonts w:ascii="宋体" w:hAnsi="宋体"/>
                <w:szCs w:val="21"/>
              </w:rPr>
            </w:pPr>
            <w:r>
              <w:rPr>
                <w:rFonts w:hint="eastAsia" w:ascii="宋体" w:hAnsi="宋体"/>
                <w:szCs w:val="21"/>
              </w:rPr>
              <w:t>执业</w:t>
            </w:r>
          </w:p>
          <w:p w14:paraId="133EE229">
            <w:pPr>
              <w:jc w:val="center"/>
              <w:rPr>
                <w:rFonts w:ascii="宋体" w:hAnsi="宋体"/>
                <w:szCs w:val="21"/>
              </w:rPr>
            </w:pPr>
            <w:r>
              <w:rPr>
                <w:rFonts w:hint="eastAsia" w:ascii="宋体" w:hAnsi="宋体"/>
                <w:szCs w:val="21"/>
              </w:rPr>
              <w:t>记录</w:t>
            </w:r>
          </w:p>
        </w:tc>
        <w:tc>
          <w:tcPr>
            <w:tcW w:w="5911" w:type="dxa"/>
            <w:tcBorders>
              <w:top w:val="single" w:color="auto" w:sz="4" w:space="0"/>
              <w:left w:val="single" w:color="auto" w:sz="4" w:space="0"/>
              <w:bottom w:val="single" w:color="auto" w:sz="4" w:space="0"/>
              <w:right w:val="single" w:color="auto" w:sz="4" w:space="0"/>
            </w:tcBorders>
            <w:vAlign w:val="center"/>
          </w:tcPr>
          <w:p w14:paraId="31AFD87A">
            <w:pPr>
              <w:rPr>
                <w:rFonts w:ascii="宋体" w:hAnsi="宋体"/>
                <w:color w:val="000000"/>
                <w:szCs w:val="21"/>
              </w:rPr>
            </w:pPr>
            <w:r>
              <w:rPr>
                <w:rFonts w:hint="eastAsia" w:ascii="宋体" w:hAnsi="宋体"/>
                <w:color w:val="000000"/>
                <w:szCs w:val="21"/>
              </w:rPr>
              <w:t>认真执行国家有关财务审计的法律法规、规章和政策规定，具有良好的执业质量记录，近三年没有因证券期货违法执业受到刑事处罚。</w:t>
            </w:r>
          </w:p>
        </w:tc>
        <w:tc>
          <w:tcPr>
            <w:tcW w:w="696" w:type="dxa"/>
            <w:tcBorders>
              <w:top w:val="single" w:color="auto" w:sz="4" w:space="0"/>
              <w:left w:val="single" w:color="auto" w:sz="4" w:space="0"/>
              <w:bottom w:val="single" w:color="auto" w:sz="4" w:space="0"/>
              <w:right w:val="single" w:color="auto" w:sz="4" w:space="0"/>
            </w:tcBorders>
            <w:vAlign w:val="center"/>
          </w:tcPr>
          <w:p w14:paraId="20C34D02">
            <w:pPr>
              <w:ind w:firstLine="18" w:firstLineChars="9"/>
              <w:jc w:val="center"/>
              <w:rPr>
                <w:rFonts w:ascii="宋体" w:hAnsi="宋体"/>
                <w:szCs w:val="21"/>
              </w:rPr>
            </w:pPr>
            <w:r>
              <w:rPr>
                <w:rFonts w:ascii="Times New Roman" w:hAnsi="Times New Roman"/>
                <w:szCs w:val="21"/>
              </w:rPr>
              <w:t>10</w:t>
            </w:r>
          </w:p>
        </w:tc>
        <w:tc>
          <w:tcPr>
            <w:tcW w:w="602" w:type="dxa"/>
            <w:tcBorders>
              <w:top w:val="single" w:color="auto" w:sz="4" w:space="0"/>
              <w:left w:val="single" w:color="auto" w:sz="4" w:space="0"/>
              <w:bottom w:val="single" w:color="auto" w:sz="4" w:space="0"/>
              <w:right w:val="single" w:color="auto" w:sz="4" w:space="0"/>
            </w:tcBorders>
          </w:tcPr>
          <w:p w14:paraId="7A721376">
            <w:pPr>
              <w:jc w:val="center"/>
              <w:rPr>
                <w:rFonts w:ascii="宋体" w:hAnsi="宋体"/>
                <w:b/>
                <w:szCs w:val="21"/>
              </w:rPr>
            </w:pPr>
          </w:p>
        </w:tc>
      </w:tr>
      <w:tr w14:paraId="0927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6D95388C">
            <w:pPr>
              <w:snapToGrid w:val="0"/>
              <w:jc w:val="center"/>
              <w:rPr>
                <w:rFonts w:ascii="宋体" w:hAnsi="宋体"/>
                <w:szCs w:val="21"/>
              </w:rPr>
            </w:pPr>
            <w:r>
              <w:rPr>
                <w:rFonts w:ascii="Times New Roman" w:hAnsi="Times New Roman"/>
                <w:szCs w:val="21"/>
              </w:rPr>
              <w:t>3</w:t>
            </w:r>
          </w:p>
        </w:tc>
        <w:tc>
          <w:tcPr>
            <w:tcW w:w="876" w:type="dxa"/>
            <w:tcBorders>
              <w:top w:val="single" w:color="auto" w:sz="4" w:space="0"/>
              <w:left w:val="single" w:color="auto" w:sz="4" w:space="0"/>
              <w:bottom w:val="single" w:color="auto" w:sz="4" w:space="0"/>
              <w:right w:val="single" w:color="auto" w:sz="4" w:space="0"/>
            </w:tcBorders>
            <w:vAlign w:val="center"/>
          </w:tcPr>
          <w:p w14:paraId="5281CF4C">
            <w:pPr>
              <w:jc w:val="center"/>
              <w:rPr>
                <w:rFonts w:ascii="宋体" w:hAnsi="宋体"/>
                <w:szCs w:val="21"/>
              </w:rPr>
            </w:pPr>
            <w:r>
              <w:rPr>
                <w:rFonts w:hint="eastAsia" w:ascii="宋体" w:hAnsi="宋体"/>
                <w:szCs w:val="21"/>
              </w:rPr>
              <w:t>工作</w:t>
            </w:r>
          </w:p>
          <w:p w14:paraId="7AC4F03F">
            <w:pPr>
              <w:jc w:val="center"/>
              <w:rPr>
                <w:rFonts w:ascii="宋体" w:hAnsi="宋体"/>
                <w:szCs w:val="21"/>
              </w:rPr>
            </w:pPr>
            <w:r>
              <w:rPr>
                <w:rFonts w:hint="eastAsia" w:ascii="宋体" w:hAnsi="宋体"/>
                <w:szCs w:val="21"/>
              </w:rPr>
              <w:t>方案</w:t>
            </w:r>
          </w:p>
        </w:tc>
        <w:tc>
          <w:tcPr>
            <w:tcW w:w="5911" w:type="dxa"/>
            <w:tcBorders>
              <w:top w:val="single" w:color="auto" w:sz="4" w:space="0"/>
              <w:left w:val="single" w:color="auto" w:sz="4" w:space="0"/>
              <w:bottom w:val="single" w:color="auto" w:sz="4" w:space="0"/>
              <w:right w:val="single" w:color="auto" w:sz="4" w:space="0"/>
            </w:tcBorders>
            <w:vAlign w:val="center"/>
          </w:tcPr>
          <w:p w14:paraId="53629771">
            <w:pPr>
              <w:rPr>
                <w:rFonts w:ascii="宋体" w:hAnsi="宋体"/>
                <w:color w:val="000000"/>
                <w:szCs w:val="21"/>
              </w:rPr>
            </w:pPr>
            <w:r>
              <w:rPr>
                <w:rFonts w:hint="eastAsia" w:ascii="宋体" w:hAnsi="宋体"/>
                <w:color w:val="000000"/>
                <w:szCs w:val="21"/>
              </w:rPr>
              <w:t>审计项目组需要对公司性质和基本情况有初步了解，针对公司审计需求制定切实可行的工作方案，包括但不限于审计服务范围、人员配置等。</w:t>
            </w:r>
          </w:p>
        </w:tc>
        <w:tc>
          <w:tcPr>
            <w:tcW w:w="696" w:type="dxa"/>
            <w:tcBorders>
              <w:top w:val="single" w:color="auto" w:sz="4" w:space="0"/>
              <w:left w:val="single" w:color="auto" w:sz="4" w:space="0"/>
              <w:bottom w:val="single" w:color="auto" w:sz="4" w:space="0"/>
              <w:right w:val="single" w:color="auto" w:sz="4" w:space="0"/>
            </w:tcBorders>
            <w:vAlign w:val="center"/>
          </w:tcPr>
          <w:p w14:paraId="1C78A20C">
            <w:pPr>
              <w:ind w:firstLine="18" w:firstLineChars="9"/>
              <w:jc w:val="center"/>
              <w:rPr>
                <w:rFonts w:ascii="宋体" w:hAnsi="宋体"/>
                <w:szCs w:val="21"/>
              </w:rPr>
            </w:pPr>
            <w:r>
              <w:rPr>
                <w:rFonts w:ascii="Times New Roman" w:hAnsi="Times New Roman"/>
                <w:szCs w:val="21"/>
              </w:rPr>
              <w:t>10</w:t>
            </w:r>
          </w:p>
        </w:tc>
        <w:tc>
          <w:tcPr>
            <w:tcW w:w="602" w:type="dxa"/>
            <w:tcBorders>
              <w:top w:val="single" w:color="auto" w:sz="4" w:space="0"/>
              <w:left w:val="single" w:color="auto" w:sz="4" w:space="0"/>
              <w:bottom w:val="single" w:color="auto" w:sz="4" w:space="0"/>
              <w:right w:val="single" w:color="auto" w:sz="4" w:space="0"/>
            </w:tcBorders>
          </w:tcPr>
          <w:p w14:paraId="2B9B0132">
            <w:pPr>
              <w:jc w:val="center"/>
              <w:rPr>
                <w:rFonts w:ascii="宋体" w:hAnsi="宋体"/>
                <w:b/>
                <w:szCs w:val="21"/>
              </w:rPr>
            </w:pPr>
          </w:p>
        </w:tc>
      </w:tr>
      <w:tr w14:paraId="458A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66634F79">
            <w:pPr>
              <w:snapToGrid w:val="0"/>
              <w:jc w:val="center"/>
              <w:rPr>
                <w:rFonts w:ascii="宋体" w:hAnsi="宋体"/>
                <w:szCs w:val="21"/>
              </w:rPr>
            </w:pPr>
            <w:r>
              <w:rPr>
                <w:rFonts w:ascii="Times New Roman" w:hAnsi="Times New Roman"/>
                <w:szCs w:val="21"/>
              </w:rPr>
              <w:t>4</w:t>
            </w:r>
          </w:p>
        </w:tc>
        <w:tc>
          <w:tcPr>
            <w:tcW w:w="876" w:type="dxa"/>
            <w:tcBorders>
              <w:top w:val="single" w:color="auto" w:sz="4" w:space="0"/>
              <w:left w:val="single" w:color="auto" w:sz="4" w:space="0"/>
              <w:bottom w:val="single" w:color="auto" w:sz="4" w:space="0"/>
              <w:right w:val="single" w:color="auto" w:sz="4" w:space="0"/>
            </w:tcBorders>
            <w:vAlign w:val="center"/>
          </w:tcPr>
          <w:p w14:paraId="48553A75">
            <w:pPr>
              <w:jc w:val="center"/>
              <w:rPr>
                <w:rFonts w:ascii="宋体" w:hAnsi="宋体"/>
                <w:szCs w:val="21"/>
              </w:rPr>
            </w:pPr>
            <w:r>
              <w:rPr>
                <w:rFonts w:hint="eastAsia" w:ascii="宋体" w:hAnsi="宋体"/>
                <w:szCs w:val="21"/>
              </w:rPr>
              <w:t>人力及其他资源配备</w:t>
            </w:r>
          </w:p>
        </w:tc>
        <w:tc>
          <w:tcPr>
            <w:tcW w:w="5911" w:type="dxa"/>
            <w:tcBorders>
              <w:top w:val="single" w:color="auto" w:sz="4" w:space="0"/>
              <w:left w:val="single" w:color="auto" w:sz="4" w:space="0"/>
              <w:bottom w:val="single" w:color="auto" w:sz="4" w:space="0"/>
              <w:right w:val="single" w:color="auto" w:sz="4" w:space="0"/>
            </w:tcBorders>
            <w:vAlign w:val="center"/>
          </w:tcPr>
          <w:p w14:paraId="2EE904DA">
            <w:pPr>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、具有完成审计任务和确保审计质量的注册会计师。</w:t>
            </w:r>
          </w:p>
          <w:p w14:paraId="739580CE">
            <w:pPr>
              <w:rPr>
                <w:rFonts w:ascii="宋体" w:hAnsi="宋体"/>
                <w:color w:val="000000"/>
                <w:szCs w:val="21"/>
              </w:rPr>
            </w:pPr>
            <w:r>
              <w:rPr>
                <w:rFonts w:ascii="Times New Roman" w:hAnsi="Times New Roman"/>
                <w:color w:val="000000"/>
                <w:szCs w:val="21"/>
              </w:rPr>
              <w:t>2</w:t>
            </w:r>
            <w:r>
              <w:rPr>
                <w:rFonts w:hint="eastAsia" w:ascii="宋体" w:hAnsi="宋体"/>
                <w:color w:val="000000"/>
                <w:szCs w:val="21"/>
              </w:rPr>
              <w:t>、会计师事务所及项目合伙人、签字注册会计师和质量控制复核人不存在违反《中国注册会计师职业道德守则》对独立性要求的情形。</w:t>
            </w:r>
          </w:p>
          <w:p w14:paraId="16BFF0FC">
            <w:pPr>
              <w:rPr>
                <w:rFonts w:ascii="宋体" w:hAnsi="宋体"/>
                <w:color w:val="000000"/>
                <w:szCs w:val="21"/>
              </w:rPr>
            </w:pPr>
            <w:r>
              <w:rPr>
                <w:rFonts w:ascii="Times New Roman" w:hAnsi="Times New Roman"/>
                <w:color w:val="000000"/>
                <w:szCs w:val="21"/>
              </w:rPr>
              <w:t>3</w:t>
            </w:r>
            <w:r>
              <w:rPr>
                <w:rFonts w:hint="eastAsia" w:ascii="宋体" w:hAnsi="宋体"/>
                <w:color w:val="000000"/>
                <w:szCs w:val="21"/>
              </w:rPr>
              <w:t>、审计项目组需配置具有专业胜任能力的人员进行审计工作，制定合理的时间</w:t>
            </w:r>
            <w:r>
              <w:rPr>
                <w:rFonts w:hint="eastAsia" w:ascii="宋体" w:hAnsi="宋体"/>
                <w:color w:val="000000"/>
                <w:szCs w:val="21"/>
                <w:lang w:val="en-US" w:eastAsia="zh-CN"/>
              </w:rPr>
              <w:t>计划</w:t>
            </w:r>
            <w:r>
              <w:rPr>
                <w:rFonts w:hint="eastAsia" w:ascii="宋体" w:hAnsi="宋体"/>
                <w:color w:val="000000"/>
                <w:szCs w:val="21"/>
              </w:rPr>
              <w:t>，以保证项目合伙人和审计项目组其他成员投入充分时间参与审计项目。</w:t>
            </w:r>
          </w:p>
        </w:tc>
        <w:tc>
          <w:tcPr>
            <w:tcW w:w="696" w:type="dxa"/>
            <w:tcBorders>
              <w:top w:val="single" w:color="auto" w:sz="4" w:space="0"/>
              <w:left w:val="single" w:color="auto" w:sz="4" w:space="0"/>
              <w:bottom w:val="single" w:color="auto" w:sz="4" w:space="0"/>
              <w:right w:val="single" w:color="auto" w:sz="4" w:space="0"/>
            </w:tcBorders>
            <w:vAlign w:val="center"/>
          </w:tcPr>
          <w:p w14:paraId="4BFC1660">
            <w:pPr>
              <w:ind w:firstLine="18" w:firstLineChars="9"/>
              <w:jc w:val="center"/>
              <w:rPr>
                <w:rFonts w:hint="eastAsia" w:ascii="宋体" w:hAnsi="宋体" w:eastAsia="宋体"/>
                <w:szCs w:val="21"/>
                <w:lang w:eastAsia="zh-CN"/>
              </w:rPr>
            </w:pPr>
            <w:r>
              <w:rPr>
                <w:rFonts w:hint="eastAsia" w:ascii="Times New Roman" w:hAnsi="Times New Roman"/>
                <w:szCs w:val="21"/>
                <w:lang w:val="en-US" w:eastAsia="zh-CN"/>
              </w:rPr>
              <w:t>5</w:t>
            </w:r>
          </w:p>
        </w:tc>
        <w:tc>
          <w:tcPr>
            <w:tcW w:w="602" w:type="dxa"/>
            <w:tcBorders>
              <w:top w:val="single" w:color="auto" w:sz="4" w:space="0"/>
              <w:left w:val="single" w:color="auto" w:sz="4" w:space="0"/>
              <w:bottom w:val="single" w:color="auto" w:sz="4" w:space="0"/>
              <w:right w:val="single" w:color="auto" w:sz="4" w:space="0"/>
            </w:tcBorders>
          </w:tcPr>
          <w:p w14:paraId="3E5C02E4">
            <w:pPr>
              <w:jc w:val="center"/>
              <w:rPr>
                <w:rFonts w:ascii="宋体" w:hAnsi="宋体"/>
                <w:b/>
                <w:szCs w:val="21"/>
              </w:rPr>
            </w:pPr>
          </w:p>
        </w:tc>
      </w:tr>
      <w:tr w14:paraId="016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35F46C4B">
            <w:pPr>
              <w:snapToGrid w:val="0"/>
              <w:jc w:val="center"/>
              <w:rPr>
                <w:rFonts w:ascii="宋体" w:hAnsi="宋体"/>
                <w:szCs w:val="21"/>
              </w:rPr>
            </w:pPr>
            <w:r>
              <w:rPr>
                <w:rFonts w:ascii="Times New Roman" w:hAnsi="Times New Roman"/>
                <w:szCs w:val="21"/>
              </w:rPr>
              <w:t>5</w:t>
            </w:r>
          </w:p>
        </w:tc>
        <w:tc>
          <w:tcPr>
            <w:tcW w:w="876" w:type="dxa"/>
            <w:tcBorders>
              <w:top w:val="single" w:color="auto" w:sz="4" w:space="0"/>
              <w:left w:val="single" w:color="auto" w:sz="4" w:space="0"/>
              <w:bottom w:val="single" w:color="auto" w:sz="4" w:space="0"/>
              <w:right w:val="single" w:color="auto" w:sz="4" w:space="0"/>
            </w:tcBorders>
            <w:vAlign w:val="center"/>
          </w:tcPr>
          <w:p w14:paraId="68D0AB69">
            <w:pPr>
              <w:jc w:val="center"/>
              <w:rPr>
                <w:rFonts w:ascii="宋体" w:hAnsi="宋体"/>
                <w:szCs w:val="21"/>
              </w:rPr>
            </w:pPr>
            <w:r>
              <w:rPr>
                <w:rFonts w:hint="eastAsia" w:ascii="宋体" w:hAnsi="宋体"/>
                <w:szCs w:val="21"/>
              </w:rPr>
              <w:t>信息安全管理</w:t>
            </w:r>
          </w:p>
        </w:tc>
        <w:tc>
          <w:tcPr>
            <w:tcW w:w="5911" w:type="dxa"/>
            <w:tcBorders>
              <w:top w:val="single" w:color="auto" w:sz="4" w:space="0"/>
              <w:left w:val="single" w:color="auto" w:sz="4" w:space="0"/>
              <w:bottom w:val="single" w:color="auto" w:sz="4" w:space="0"/>
              <w:right w:val="single" w:color="auto" w:sz="4" w:space="0"/>
            </w:tcBorders>
            <w:vAlign w:val="center"/>
          </w:tcPr>
          <w:p w14:paraId="43ACBC90">
            <w:pPr>
              <w:rPr>
                <w:rFonts w:ascii="宋体" w:hAnsi="宋体"/>
                <w:color w:val="000000"/>
                <w:szCs w:val="21"/>
              </w:rPr>
            </w:pPr>
            <w:r>
              <w:rPr>
                <w:rFonts w:hint="eastAsia" w:ascii="宋体" w:hAnsi="宋体"/>
                <w:color w:val="000000"/>
                <w:szCs w:val="21"/>
              </w:rPr>
              <w:t>会计师事务所应严格遵循保密原则，履行信息安全保护义务。不得利用获知的涉密信息为自己和第三方谋取利益，能够对所知悉的公司信息、商业秘密保密。</w:t>
            </w:r>
          </w:p>
        </w:tc>
        <w:tc>
          <w:tcPr>
            <w:tcW w:w="696" w:type="dxa"/>
            <w:tcBorders>
              <w:top w:val="single" w:color="auto" w:sz="4" w:space="0"/>
              <w:left w:val="single" w:color="auto" w:sz="4" w:space="0"/>
              <w:bottom w:val="single" w:color="auto" w:sz="4" w:space="0"/>
              <w:right w:val="single" w:color="auto" w:sz="4" w:space="0"/>
            </w:tcBorders>
            <w:vAlign w:val="center"/>
          </w:tcPr>
          <w:p w14:paraId="6CA79AF1">
            <w:pPr>
              <w:ind w:firstLine="18" w:firstLineChars="9"/>
              <w:jc w:val="center"/>
              <w:rPr>
                <w:rFonts w:ascii="宋体" w:hAnsi="宋体"/>
                <w:szCs w:val="21"/>
              </w:rPr>
            </w:pPr>
            <w:r>
              <w:rPr>
                <w:rFonts w:ascii="Times New Roman" w:hAnsi="Times New Roman"/>
                <w:szCs w:val="21"/>
              </w:rPr>
              <w:t>5</w:t>
            </w:r>
          </w:p>
        </w:tc>
        <w:tc>
          <w:tcPr>
            <w:tcW w:w="602" w:type="dxa"/>
            <w:tcBorders>
              <w:top w:val="single" w:color="auto" w:sz="4" w:space="0"/>
              <w:left w:val="single" w:color="auto" w:sz="4" w:space="0"/>
              <w:bottom w:val="single" w:color="auto" w:sz="4" w:space="0"/>
              <w:right w:val="single" w:color="auto" w:sz="4" w:space="0"/>
            </w:tcBorders>
          </w:tcPr>
          <w:p w14:paraId="5009555A">
            <w:pPr>
              <w:jc w:val="center"/>
              <w:rPr>
                <w:rFonts w:ascii="宋体" w:hAnsi="宋体"/>
                <w:b/>
                <w:szCs w:val="21"/>
              </w:rPr>
            </w:pPr>
          </w:p>
        </w:tc>
      </w:tr>
      <w:tr w14:paraId="249D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587AAC35">
            <w:pPr>
              <w:snapToGrid w:val="0"/>
              <w:jc w:val="center"/>
              <w:rPr>
                <w:rFonts w:ascii="宋体" w:hAnsi="宋体"/>
                <w:szCs w:val="21"/>
              </w:rPr>
            </w:pPr>
            <w:r>
              <w:rPr>
                <w:rFonts w:ascii="Times New Roman" w:hAnsi="Times New Roman"/>
                <w:szCs w:val="21"/>
              </w:rPr>
              <w:t>6</w:t>
            </w:r>
          </w:p>
        </w:tc>
        <w:tc>
          <w:tcPr>
            <w:tcW w:w="876" w:type="dxa"/>
            <w:tcBorders>
              <w:top w:val="single" w:color="auto" w:sz="4" w:space="0"/>
              <w:left w:val="single" w:color="auto" w:sz="4" w:space="0"/>
              <w:bottom w:val="single" w:color="auto" w:sz="4" w:space="0"/>
              <w:right w:val="single" w:color="auto" w:sz="4" w:space="0"/>
            </w:tcBorders>
            <w:vAlign w:val="center"/>
          </w:tcPr>
          <w:p w14:paraId="481173CB">
            <w:pPr>
              <w:jc w:val="center"/>
              <w:rPr>
                <w:rFonts w:ascii="宋体" w:hAnsi="宋体"/>
                <w:szCs w:val="21"/>
              </w:rPr>
            </w:pPr>
            <w:r>
              <w:rPr>
                <w:rFonts w:hint="eastAsia" w:ascii="宋体" w:hAnsi="宋体"/>
                <w:szCs w:val="21"/>
              </w:rPr>
              <w:t>风险承担能力水平</w:t>
            </w:r>
          </w:p>
        </w:tc>
        <w:tc>
          <w:tcPr>
            <w:tcW w:w="5911" w:type="dxa"/>
            <w:tcBorders>
              <w:top w:val="single" w:color="auto" w:sz="4" w:space="0"/>
              <w:left w:val="single" w:color="auto" w:sz="4" w:space="0"/>
              <w:bottom w:val="single" w:color="auto" w:sz="4" w:space="0"/>
              <w:right w:val="single" w:color="auto" w:sz="4" w:space="0"/>
            </w:tcBorders>
            <w:vAlign w:val="center"/>
          </w:tcPr>
          <w:p w14:paraId="625CC9AE">
            <w:pPr>
              <w:rPr>
                <w:rFonts w:ascii="宋体" w:hAnsi="宋体"/>
                <w:color w:val="000000"/>
                <w:szCs w:val="21"/>
              </w:rPr>
            </w:pPr>
            <w:r>
              <w:rPr>
                <w:rFonts w:hint="eastAsia" w:ascii="宋体" w:hAnsi="宋体"/>
                <w:color w:val="000000"/>
                <w:szCs w:val="21"/>
              </w:rPr>
              <w:t>会计师事务所应按照有关法律法规要求投保职业保险，职业保险累计赔偿限额和职业风险基金之和不得少于人民币</w:t>
            </w:r>
            <w:r>
              <w:rPr>
                <w:rFonts w:ascii="Times New Roman" w:hAnsi="Times New Roman"/>
                <w:color w:val="000000"/>
                <w:szCs w:val="21"/>
              </w:rPr>
              <w:t>1</w:t>
            </w:r>
            <w:r>
              <w:rPr>
                <w:rFonts w:hint="eastAsia" w:ascii="宋体" w:hAnsi="宋体"/>
                <w:color w:val="000000"/>
                <w:szCs w:val="21"/>
              </w:rPr>
              <w:t>亿元，职业风险基金计提或职业保险购买符合相关规定。</w:t>
            </w:r>
          </w:p>
        </w:tc>
        <w:tc>
          <w:tcPr>
            <w:tcW w:w="696" w:type="dxa"/>
            <w:tcBorders>
              <w:top w:val="single" w:color="auto" w:sz="4" w:space="0"/>
              <w:left w:val="single" w:color="auto" w:sz="4" w:space="0"/>
              <w:bottom w:val="single" w:color="auto" w:sz="4" w:space="0"/>
              <w:right w:val="single" w:color="auto" w:sz="4" w:space="0"/>
            </w:tcBorders>
            <w:vAlign w:val="center"/>
          </w:tcPr>
          <w:p w14:paraId="03509EC5">
            <w:pPr>
              <w:ind w:firstLine="18" w:firstLineChars="9"/>
              <w:jc w:val="center"/>
              <w:rPr>
                <w:rFonts w:ascii="宋体" w:hAnsi="宋体"/>
                <w:szCs w:val="21"/>
              </w:rPr>
            </w:pPr>
            <w:r>
              <w:rPr>
                <w:rFonts w:ascii="Times New Roman" w:hAnsi="Times New Roman"/>
                <w:szCs w:val="21"/>
              </w:rPr>
              <w:t>5</w:t>
            </w:r>
          </w:p>
        </w:tc>
        <w:tc>
          <w:tcPr>
            <w:tcW w:w="602" w:type="dxa"/>
            <w:tcBorders>
              <w:top w:val="single" w:color="auto" w:sz="4" w:space="0"/>
              <w:left w:val="single" w:color="auto" w:sz="4" w:space="0"/>
              <w:bottom w:val="single" w:color="auto" w:sz="4" w:space="0"/>
              <w:right w:val="single" w:color="auto" w:sz="4" w:space="0"/>
            </w:tcBorders>
          </w:tcPr>
          <w:p w14:paraId="04B9A8D9">
            <w:pPr>
              <w:jc w:val="center"/>
              <w:rPr>
                <w:rFonts w:ascii="宋体" w:hAnsi="宋体"/>
                <w:b/>
                <w:szCs w:val="21"/>
              </w:rPr>
            </w:pPr>
          </w:p>
        </w:tc>
      </w:tr>
      <w:tr w14:paraId="16AE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1"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7FD27278">
            <w:pPr>
              <w:snapToGrid w:val="0"/>
              <w:jc w:val="center"/>
              <w:rPr>
                <w:rFonts w:ascii="宋体" w:hAnsi="宋体"/>
                <w:szCs w:val="21"/>
              </w:rPr>
            </w:pPr>
            <w:r>
              <w:rPr>
                <w:rFonts w:ascii="Times New Roman" w:hAnsi="Times New Roman"/>
                <w:szCs w:val="21"/>
              </w:rPr>
              <w:t>7</w:t>
            </w:r>
          </w:p>
        </w:tc>
        <w:tc>
          <w:tcPr>
            <w:tcW w:w="876" w:type="dxa"/>
            <w:tcBorders>
              <w:top w:val="single" w:color="auto" w:sz="4" w:space="0"/>
              <w:left w:val="single" w:color="auto" w:sz="4" w:space="0"/>
              <w:bottom w:val="single" w:color="auto" w:sz="4" w:space="0"/>
              <w:right w:val="single" w:color="auto" w:sz="4" w:space="0"/>
            </w:tcBorders>
            <w:vAlign w:val="center"/>
          </w:tcPr>
          <w:p w14:paraId="77E167C9">
            <w:pPr>
              <w:jc w:val="center"/>
              <w:rPr>
                <w:rFonts w:ascii="宋体" w:hAnsi="宋体"/>
                <w:szCs w:val="21"/>
              </w:rPr>
            </w:pPr>
            <w:r>
              <w:rPr>
                <w:rFonts w:hint="eastAsia" w:ascii="宋体" w:hAnsi="宋体"/>
                <w:szCs w:val="21"/>
              </w:rPr>
              <w:t>质量管理水平</w:t>
            </w:r>
          </w:p>
        </w:tc>
        <w:tc>
          <w:tcPr>
            <w:tcW w:w="5911" w:type="dxa"/>
            <w:tcBorders>
              <w:top w:val="single" w:color="auto" w:sz="4" w:space="0"/>
              <w:left w:val="single" w:color="auto" w:sz="4" w:space="0"/>
              <w:bottom w:val="single" w:color="auto" w:sz="4" w:space="0"/>
              <w:right w:val="single" w:color="auto" w:sz="4" w:space="0"/>
            </w:tcBorders>
            <w:vAlign w:val="center"/>
          </w:tcPr>
          <w:p w14:paraId="1AC730CD">
            <w:pPr>
              <w:ind w:firstLine="420"/>
              <w:rPr>
                <w:rFonts w:ascii="宋体" w:hAnsi="宋体"/>
                <w:color w:val="000000"/>
                <w:szCs w:val="21"/>
              </w:rPr>
            </w:pPr>
            <w:r>
              <w:rPr>
                <w:rFonts w:hint="eastAsia" w:ascii="宋体" w:hAnsi="宋体"/>
                <w:color w:val="000000"/>
                <w:szCs w:val="21"/>
              </w:rPr>
              <w:t>质量管理制度及实施情况，包括项目咨询、意见分歧解决、项目质量复核、项目质量检查、质量管理缺陷识别与整改等方面的政策与程序：</w:t>
            </w:r>
          </w:p>
          <w:p w14:paraId="52A593A7">
            <w:pPr>
              <w:ind w:firstLine="420"/>
              <w:rPr>
                <w:rFonts w:ascii="宋体" w:hAnsi="宋体"/>
                <w:color w:val="000000"/>
                <w:szCs w:val="21"/>
              </w:rPr>
            </w:pPr>
            <w:r>
              <w:rPr>
                <w:rFonts w:ascii="Times New Roman" w:hAnsi="Times New Roman"/>
                <w:bCs/>
                <w:color w:val="000000"/>
                <w:szCs w:val="21"/>
              </w:rPr>
              <w:t>1</w:t>
            </w:r>
            <w:r>
              <w:rPr>
                <w:rFonts w:hint="eastAsia" w:ascii="宋体" w:hAnsi="宋体"/>
                <w:b/>
                <w:bCs/>
                <w:color w:val="000000"/>
                <w:szCs w:val="21"/>
              </w:rPr>
              <w:t>、项目咨询</w:t>
            </w:r>
          </w:p>
          <w:p w14:paraId="4C1FD0EB">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确保在审计过程中就相关事项进行适当的咨询。咨询可能在审计项目组内部进行，或者在审计项目组与会计师事务所内部或外部的其他适当人员之间进行。在出具审计结论之前，确保咨询性质、范围以及形成的结论达成一致意见；确定咨询形成的结论已得到执行。</w:t>
            </w:r>
          </w:p>
          <w:p w14:paraId="080CBD1C">
            <w:pPr>
              <w:ind w:firstLine="420"/>
              <w:rPr>
                <w:rFonts w:ascii="宋体" w:hAnsi="宋体"/>
                <w:color w:val="000000"/>
                <w:szCs w:val="21"/>
              </w:rPr>
            </w:pPr>
            <w:r>
              <w:rPr>
                <w:rFonts w:ascii="Times New Roman" w:hAnsi="Times New Roman"/>
                <w:bCs/>
                <w:color w:val="000000"/>
                <w:szCs w:val="21"/>
              </w:rPr>
              <w:t>2</w:t>
            </w:r>
            <w:r>
              <w:rPr>
                <w:rFonts w:hint="eastAsia" w:ascii="宋体" w:hAnsi="宋体"/>
                <w:b/>
                <w:bCs/>
                <w:color w:val="000000"/>
                <w:szCs w:val="21"/>
              </w:rPr>
              <w:t>、意见分歧解决</w:t>
            </w:r>
          </w:p>
          <w:p w14:paraId="30531C5C">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针对意见分歧，会计师事务所有相应的政策和程序处理和解决包括项目组内部和外部的意见分歧。项目合伙人应确保：确定咨询得出的结论已经记录并得到执行；在所有意见分歧得到解决之前，不得签署审计报告。</w:t>
            </w:r>
          </w:p>
          <w:p w14:paraId="0DE1A3CA">
            <w:pPr>
              <w:ind w:firstLine="420"/>
              <w:rPr>
                <w:rFonts w:ascii="宋体" w:hAnsi="宋体"/>
                <w:color w:val="000000"/>
                <w:szCs w:val="21"/>
              </w:rPr>
            </w:pPr>
            <w:r>
              <w:rPr>
                <w:rFonts w:ascii="Times New Roman" w:hAnsi="Times New Roman"/>
                <w:bCs/>
                <w:color w:val="000000"/>
                <w:szCs w:val="21"/>
              </w:rPr>
              <w:t>3</w:t>
            </w:r>
            <w:r>
              <w:rPr>
                <w:rFonts w:hint="eastAsia" w:ascii="宋体" w:hAnsi="宋体"/>
                <w:b/>
                <w:bCs/>
                <w:color w:val="000000"/>
                <w:szCs w:val="21"/>
              </w:rPr>
              <w:t>、项目质量复核、检查</w:t>
            </w:r>
          </w:p>
          <w:p w14:paraId="7F6E70CA">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号——业务质量管理》和《会计师事务所质量管理准则第</w:t>
            </w:r>
            <w:r>
              <w:rPr>
                <w:rFonts w:ascii="Times New Roman" w:hAnsi="Times New Roman"/>
                <w:color w:val="000000"/>
                <w:szCs w:val="21"/>
              </w:rPr>
              <w:t>5102</w:t>
            </w:r>
            <w:r>
              <w:rPr>
                <w:rFonts w:hint="eastAsia" w:ascii="宋体" w:hAnsi="宋体"/>
                <w:color w:val="000000"/>
                <w:szCs w:val="21"/>
              </w:rPr>
              <w:t>号——项目质量复核》规定，会计师事务所应当制定与内部复核相关的政策和程序，对内部复核的层级、各层级的复核范围、执行复核的具体要求以及对复核的记录要求等作出规定。在全所范围内统一委派具有足够专业胜任能力和时间，并且无不良执业诚信记录的项目合伙人执行业务。严格遵循不得交叉复核、独立性和冷却期要求。</w:t>
            </w:r>
          </w:p>
          <w:p w14:paraId="306B5D15">
            <w:pPr>
              <w:ind w:firstLine="420"/>
              <w:rPr>
                <w:rFonts w:ascii="宋体" w:hAnsi="宋体"/>
                <w:color w:val="000000"/>
                <w:szCs w:val="21"/>
              </w:rPr>
            </w:pPr>
            <w:r>
              <w:rPr>
                <w:rFonts w:ascii="Times New Roman" w:hAnsi="Times New Roman"/>
                <w:bCs/>
                <w:color w:val="000000"/>
                <w:szCs w:val="21"/>
              </w:rPr>
              <w:t>4</w:t>
            </w:r>
            <w:r>
              <w:rPr>
                <w:rFonts w:hint="eastAsia" w:ascii="宋体" w:hAnsi="宋体"/>
                <w:b/>
                <w:bCs/>
                <w:color w:val="000000"/>
                <w:szCs w:val="21"/>
              </w:rPr>
              <w:t>、质量管理缺陷识别和整改方面的政策与程序</w:t>
            </w:r>
          </w:p>
          <w:p w14:paraId="17AF9160">
            <w:pPr>
              <w:ind w:firstLine="420"/>
              <w:rPr>
                <w:rFonts w:ascii="宋体" w:hAnsi="宋体"/>
                <w:color w:val="000000"/>
                <w:szCs w:val="21"/>
              </w:rPr>
            </w:pPr>
            <w:r>
              <w:rPr>
                <w:rFonts w:hint="eastAsia" w:ascii="宋体" w:hAnsi="宋体"/>
                <w:color w:val="000000"/>
                <w:szCs w:val="21"/>
              </w:rPr>
              <w:t>会计师事务所内部应具备对标新修订的质量管理相关准则及应用指南，设计和实施风险评估程序，设定质量目标、识别和评估质量风险、设计和采取应对措施。事务所应当实施统一的业务管理制度，制定统一的客户与业务风险评估分类标准、业务承接与保持、业务执行、独立性与职业道德管理、报告签发、印章管理等方面的政策和程序并确保有效执行。在质量管理缺陷的风险识别和整改上，事务所具备相应的风险防范和整改程序以应对。</w:t>
            </w:r>
          </w:p>
        </w:tc>
        <w:tc>
          <w:tcPr>
            <w:tcW w:w="696" w:type="dxa"/>
            <w:tcBorders>
              <w:top w:val="single" w:color="auto" w:sz="4" w:space="0"/>
              <w:left w:val="single" w:color="auto" w:sz="4" w:space="0"/>
              <w:bottom w:val="single" w:color="auto" w:sz="4" w:space="0"/>
              <w:right w:val="single" w:color="auto" w:sz="4" w:space="0"/>
            </w:tcBorders>
            <w:vAlign w:val="center"/>
          </w:tcPr>
          <w:p w14:paraId="1ED7B453">
            <w:pPr>
              <w:ind w:firstLine="18" w:firstLineChars="9"/>
              <w:jc w:val="center"/>
              <w:rPr>
                <w:rFonts w:ascii="宋体" w:hAnsi="宋体"/>
                <w:szCs w:val="21"/>
              </w:rPr>
            </w:pPr>
            <w:r>
              <w:rPr>
                <w:rFonts w:ascii="Times New Roman" w:hAnsi="Times New Roman"/>
                <w:szCs w:val="21"/>
              </w:rPr>
              <w:t>40</w:t>
            </w:r>
          </w:p>
        </w:tc>
        <w:tc>
          <w:tcPr>
            <w:tcW w:w="602" w:type="dxa"/>
            <w:tcBorders>
              <w:top w:val="single" w:color="auto" w:sz="4" w:space="0"/>
              <w:left w:val="single" w:color="auto" w:sz="4" w:space="0"/>
              <w:bottom w:val="single" w:color="auto" w:sz="4" w:space="0"/>
              <w:right w:val="single" w:color="auto" w:sz="4" w:space="0"/>
            </w:tcBorders>
          </w:tcPr>
          <w:p w14:paraId="41007EC7">
            <w:pPr>
              <w:jc w:val="center"/>
              <w:rPr>
                <w:rFonts w:ascii="宋体" w:hAnsi="宋体"/>
                <w:b/>
                <w:szCs w:val="21"/>
              </w:rPr>
            </w:pPr>
          </w:p>
        </w:tc>
      </w:tr>
      <w:tr w14:paraId="485C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trPr>
        <w:tc>
          <w:tcPr>
            <w:tcW w:w="442" w:type="dxa"/>
            <w:tcBorders>
              <w:top w:val="single" w:color="auto" w:sz="4" w:space="0"/>
              <w:left w:val="single" w:color="auto" w:sz="4" w:space="0"/>
              <w:bottom w:val="single" w:color="auto" w:sz="4" w:space="0"/>
              <w:right w:val="single" w:color="auto" w:sz="4" w:space="0"/>
            </w:tcBorders>
            <w:vAlign w:val="center"/>
          </w:tcPr>
          <w:p w14:paraId="0BFBAF41">
            <w:pPr>
              <w:snapToGrid w:val="0"/>
              <w:jc w:val="center"/>
              <w:rPr>
                <w:rFonts w:ascii="宋体" w:hAnsi="宋体"/>
                <w:szCs w:val="21"/>
              </w:rPr>
            </w:pPr>
            <w:r>
              <w:rPr>
                <w:rFonts w:ascii="Times New Roman" w:hAnsi="Times New Roman"/>
                <w:szCs w:val="21"/>
              </w:rPr>
              <w:t>8</w:t>
            </w:r>
          </w:p>
        </w:tc>
        <w:tc>
          <w:tcPr>
            <w:tcW w:w="876" w:type="dxa"/>
            <w:tcBorders>
              <w:top w:val="single" w:color="auto" w:sz="4" w:space="0"/>
              <w:left w:val="single" w:color="auto" w:sz="4" w:space="0"/>
              <w:bottom w:val="single" w:color="auto" w:sz="4" w:space="0"/>
              <w:right w:val="single" w:color="auto" w:sz="4" w:space="0"/>
            </w:tcBorders>
            <w:vAlign w:val="center"/>
          </w:tcPr>
          <w:p w14:paraId="1EA2BBCC">
            <w:pPr>
              <w:jc w:val="center"/>
              <w:rPr>
                <w:rFonts w:ascii="宋体" w:hAnsi="宋体"/>
                <w:szCs w:val="21"/>
              </w:rPr>
            </w:pPr>
            <w:r>
              <w:rPr>
                <w:rFonts w:hint="eastAsia" w:ascii="宋体" w:hAnsi="宋体"/>
                <w:szCs w:val="21"/>
              </w:rPr>
              <w:t>审计费用报价</w:t>
            </w:r>
          </w:p>
        </w:tc>
        <w:tc>
          <w:tcPr>
            <w:tcW w:w="5911" w:type="dxa"/>
            <w:tcBorders>
              <w:top w:val="single" w:color="auto" w:sz="4" w:space="0"/>
              <w:left w:val="single" w:color="auto" w:sz="4" w:space="0"/>
              <w:bottom w:val="single" w:color="auto" w:sz="4" w:space="0"/>
              <w:right w:val="single" w:color="auto" w:sz="4" w:space="0"/>
            </w:tcBorders>
            <w:vAlign w:val="center"/>
          </w:tcPr>
          <w:p w14:paraId="1B382899">
            <w:pPr>
              <w:rPr>
                <w:rFonts w:ascii="宋体" w:hAnsi="宋体"/>
                <w:color w:val="000000"/>
                <w:szCs w:val="21"/>
              </w:rPr>
            </w:pPr>
            <w:r>
              <w:rPr>
                <w:rFonts w:hint="eastAsia" w:ascii="宋体" w:hAnsi="宋体"/>
                <w:color w:val="000000"/>
                <w:szCs w:val="21"/>
              </w:rPr>
              <w:t>审计费用报价得分=（</w:t>
            </w:r>
            <w:r>
              <w:rPr>
                <w:rFonts w:ascii="Times New Roman" w:hAnsi="Times New Roman"/>
                <w:color w:val="000000"/>
                <w:szCs w:val="21"/>
              </w:rPr>
              <w:t>1</w:t>
            </w:r>
            <w:r>
              <w:rPr>
                <w:rFonts w:hint="eastAsia" w:ascii="宋体" w:hAnsi="宋体"/>
                <w:color w:val="000000"/>
                <w:szCs w:val="21"/>
              </w:rPr>
              <w:t>-∣选聘基准价-审计费用报价∣/选聘基准价）×审计费用报价要素所占权重分值</w:t>
            </w:r>
          </w:p>
          <w:p w14:paraId="5248A494">
            <w:pPr>
              <w:rPr>
                <w:rFonts w:ascii="宋体" w:hAnsi="宋体"/>
                <w:color w:val="000000"/>
                <w:szCs w:val="21"/>
              </w:rPr>
            </w:pPr>
            <w:r>
              <w:rPr>
                <w:rFonts w:hint="eastAsia" w:ascii="宋体" w:hAnsi="宋体"/>
                <w:color w:val="000000"/>
                <w:szCs w:val="21"/>
              </w:rPr>
              <w:t>（选聘基准价为所有会计师事务所审计费用报价的平均值。）</w:t>
            </w:r>
          </w:p>
        </w:tc>
        <w:tc>
          <w:tcPr>
            <w:tcW w:w="696" w:type="dxa"/>
            <w:tcBorders>
              <w:top w:val="single" w:color="auto" w:sz="4" w:space="0"/>
              <w:left w:val="single" w:color="auto" w:sz="4" w:space="0"/>
              <w:bottom w:val="single" w:color="auto" w:sz="4" w:space="0"/>
              <w:right w:val="single" w:color="auto" w:sz="4" w:space="0"/>
            </w:tcBorders>
            <w:vAlign w:val="center"/>
          </w:tcPr>
          <w:p w14:paraId="0002FE0F">
            <w:pPr>
              <w:ind w:firstLine="18" w:firstLineChars="9"/>
              <w:jc w:val="center"/>
              <w:rPr>
                <w:rFonts w:hint="eastAsia" w:ascii="宋体" w:hAnsi="宋体" w:eastAsia="宋体"/>
                <w:szCs w:val="21"/>
                <w:lang w:eastAsia="zh-CN"/>
              </w:rPr>
            </w:pPr>
            <w:r>
              <w:rPr>
                <w:rFonts w:ascii="Times New Roman" w:hAnsi="Times New Roman"/>
                <w:szCs w:val="21"/>
              </w:rPr>
              <w:t>1</w:t>
            </w:r>
            <w:r>
              <w:rPr>
                <w:rFonts w:hint="eastAsia" w:ascii="Times New Roman" w:hAnsi="Times New Roman"/>
                <w:szCs w:val="21"/>
                <w:lang w:val="en-US" w:eastAsia="zh-CN"/>
              </w:rPr>
              <w:t>5</w:t>
            </w:r>
          </w:p>
        </w:tc>
        <w:tc>
          <w:tcPr>
            <w:tcW w:w="602" w:type="dxa"/>
            <w:tcBorders>
              <w:top w:val="single" w:color="auto" w:sz="4" w:space="0"/>
              <w:left w:val="single" w:color="auto" w:sz="4" w:space="0"/>
              <w:bottom w:val="single" w:color="auto" w:sz="4" w:space="0"/>
              <w:right w:val="single" w:color="auto" w:sz="4" w:space="0"/>
            </w:tcBorders>
          </w:tcPr>
          <w:p w14:paraId="7666A3C3">
            <w:pPr>
              <w:jc w:val="center"/>
              <w:rPr>
                <w:rFonts w:ascii="宋体" w:hAnsi="宋体"/>
                <w:b/>
                <w:szCs w:val="21"/>
              </w:rPr>
            </w:pPr>
          </w:p>
        </w:tc>
      </w:tr>
      <w:tr w14:paraId="1B0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7229" w:type="dxa"/>
            <w:gridSpan w:val="3"/>
            <w:tcBorders>
              <w:top w:val="single" w:color="auto" w:sz="4" w:space="0"/>
              <w:left w:val="single" w:color="auto" w:sz="4" w:space="0"/>
              <w:bottom w:val="single" w:color="auto" w:sz="4" w:space="0"/>
              <w:right w:val="single" w:color="auto" w:sz="4" w:space="0"/>
            </w:tcBorders>
            <w:vAlign w:val="center"/>
          </w:tcPr>
          <w:p w14:paraId="710B2423">
            <w:pPr>
              <w:tabs>
                <w:tab w:val="left" w:pos="881"/>
              </w:tabs>
              <w:ind w:firstLine="420"/>
              <w:rPr>
                <w:rFonts w:ascii="宋体" w:hAnsi="宋体"/>
                <w:b/>
                <w:szCs w:val="21"/>
              </w:rPr>
            </w:pPr>
            <w:r>
              <w:rPr>
                <w:rFonts w:hint="eastAsia" w:ascii="宋体" w:hAnsi="宋体"/>
                <w:color w:val="000000"/>
                <w:szCs w:val="21"/>
              </w:rPr>
              <w:t>注：根据《国有企业、上市公司选聘会计师事务所管理办法》规定，评分要素中会计师事务所质量管理水平的分值权重不低于</w:t>
            </w:r>
            <w:r>
              <w:rPr>
                <w:rFonts w:ascii="Times New Roman" w:hAnsi="Times New Roman"/>
                <w:color w:val="000000"/>
                <w:szCs w:val="21"/>
              </w:rPr>
              <w:t>40</w:t>
            </w:r>
            <w:r>
              <w:rPr>
                <w:rFonts w:hint="eastAsia" w:ascii="宋体" w:hAnsi="宋体"/>
                <w:color w:val="000000"/>
                <w:szCs w:val="21"/>
              </w:rPr>
              <w:t>%，审计费用报价的分值权重不高于</w:t>
            </w:r>
            <w:r>
              <w:rPr>
                <w:rFonts w:ascii="Times New Roman" w:hAnsi="Times New Roman"/>
                <w:color w:val="000000"/>
                <w:szCs w:val="21"/>
              </w:rPr>
              <w:t>15</w:t>
            </w:r>
            <w:r>
              <w:rPr>
                <w:rFonts w:hint="eastAsia" w:ascii="宋体" w:hAnsi="宋体"/>
                <w:color w:val="000000"/>
                <w:szCs w:val="21"/>
              </w:rPr>
              <w:t>%。</w:t>
            </w:r>
          </w:p>
        </w:tc>
        <w:tc>
          <w:tcPr>
            <w:tcW w:w="696" w:type="dxa"/>
            <w:tcBorders>
              <w:top w:val="single" w:color="auto" w:sz="4" w:space="0"/>
              <w:left w:val="single" w:color="auto" w:sz="4" w:space="0"/>
              <w:bottom w:val="single" w:color="auto" w:sz="4" w:space="0"/>
              <w:right w:val="single" w:color="auto" w:sz="4" w:space="0"/>
            </w:tcBorders>
            <w:vAlign w:val="center"/>
          </w:tcPr>
          <w:p w14:paraId="64D552BB">
            <w:pPr>
              <w:jc w:val="center"/>
              <w:rPr>
                <w:rFonts w:ascii="宋体" w:hAnsi="宋体"/>
                <w:b/>
                <w:szCs w:val="21"/>
              </w:rPr>
            </w:pPr>
            <w:r>
              <w:rPr>
                <w:rFonts w:ascii="Times New Roman" w:hAnsi="Times New Roman"/>
                <w:szCs w:val="21"/>
              </w:rPr>
              <w:t>100</w:t>
            </w:r>
          </w:p>
        </w:tc>
        <w:tc>
          <w:tcPr>
            <w:tcW w:w="602" w:type="dxa"/>
            <w:tcBorders>
              <w:top w:val="single" w:color="auto" w:sz="4" w:space="0"/>
              <w:left w:val="single" w:color="auto" w:sz="4" w:space="0"/>
              <w:bottom w:val="single" w:color="auto" w:sz="4" w:space="0"/>
              <w:right w:val="single" w:color="auto" w:sz="4" w:space="0"/>
            </w:tcBorders>
          </w:tcPr>
          <w:p w14:paraId="03C6F11B">
            <w:pPr>
              <w:jc w:val="center"/>
              <w:rPr>
                <w:rFonts w:ascii="宋体" w:hAnsi="宋体"/>
                <w:b/>
                <w:szCs w:val="21"/>
              </w:rPr>
            </w:pPr>
          </w:p>
        </w:tc>
      </w:tr>
      <w:tr w14:paraId="0867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8527" w:type="dxa"/>
            <w:gridSpan w:val="5"/>
            <w:tcBorders>
              <w:top w:val="single" w:color="auto" w:sz="4" w:space="0"/>
              <w:left w:val="single" w:color="auto" w:sz="4" w:space="0"/>
              <w:bottom w:val="single" w:color="auto" w:sz="4" w:space="0"/>
              <w:right w:val="single" w:color="auto" w:sz="4" w:space="0"/>
            </w:tcBorders>
            <w:vAlign w:val="center"/>
          </w:tcPr>
          <w:p w14:paraId="68975006">
            <w:pPr>
              <w:rPr>
                <w:rFonts w:ascii="宋体" w:hAnsi="宋体"/>
                <w:b/>
                <w:szCs w:val="21"/>
              </w:rPr>
            </w:pPr>
            <w:r>
              <w:rPr>
                <w:rFonts w:hint="eastAsia" w:ascii="宋体" w:hAnsi="宋体"/>
                <w:b/>
                <w:color w:val="000000"/>
                <w:szCs w:val="21"/>
              </w:rPr>
              <w:t>评价：</w:t>
            </w:r>
          </w:p>
        </w:tc>
      </w:tr>
    </w:tbl>
    <w:p w14:paraId="7BE2981F">
      <w:pPr>
        <w:rPr>
          <w:rFonts w:hint="eastAsia" w:ascii="Times New Roman" w:hAnsi="Times New Roman" w:eastAsia="宋体" w:cs="宋体"/>
          <w:b/>
          <w:bCs/>
          <w:kern w:val="0"/>
          <w:sz w:val="24"/>
          <w:szCs w:val="32"/>
        </w:rPr>
      </w:pPr>
    </w:p>
    <w:p w14:paraId="6BCBD26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AC1E">
    <w:pPr>
      <w:pStyle w:val="5"/>
      <w:jc w:val="center"/>
    </w:pPr>
    <w:r>
      <w:fldChar w:fldCharType="begin"/>
    </w:r>
    <w:r>
      <w:instrText xml:space="preserve">PAGE   \* MERGEFORMAT</w:instrText>
    </w:r>
    <w:r>
      <w:fldChar w:fldCharType="separate"/>
    </w:r>
    <w:r>
      <w:rPr>
        <w:lang w:val="zh-CN"/>
      </w:rPr>
      <w:t>10</w:t>
    </w:r>
    <w:r>
      <w:rPr>
        <w:lang w:val="zh-CN"/>
      </w:rPr>
      <w:fldChar w:fldCharType="end"/>
    </w:r>
  </w:p>
  <w:p w14:paraId="41C3B17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93AC">
    <w:pPr>
      <w:pStyle w:val="5"/>
      <w:jc w:val="center"/>
    </w:pPr>
    <w:r>
      <w:fldChar w:fldCharType="begin"/>
    </w:r>
    <w:r>
      <w:instrText xml:space="preserve">PAGE   \* MERGEFORMAT</w:instrText>
    </w:r>
    <w:r>
      <w:fldChar w:fldCharType="separate"/>
    </w:r>
    <w:r>
      <w:rPr>
        <w:lang w:val="zh-CN"/>
      </w:rPr>
      <w:t>10</w:t>
    </w:r>
    <w:r>
      <w:rPr>
        <w:lang w:val="zh-CN"/>
      </w:rPr>
      <w:fldChar w:fldCharType="end"/>
    </w:r>
  </w:p>
  <w:p w14:paraId="02A1803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3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CA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4942"/>
    <w:rsid w:val="1C0B4A1D"/>
    <w:rsid w:val="75E1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szCs w:val="20"/>
    </w:rPr>
  </w:style>
  <w:style w:type="paragraph" w:styleId="3">
    <w:name w:val="Body Text"/>
    <w:basedOn w:val="1"/>
    <w:qFormat/>
    <w:uiPriority w:val="0"/>
    <w:pPr>
      <w:spacing w:after="120"/>
    </w:pPr>
    <w:rPr>
      <w:rFonts w:ascii="Times New Roman" w:hAnsi="Times New Roman"/>
      <w:szCs w:val="20"/>
    </w:rPr>
  </w:style>
  <w:style w:type="paragraph" w:styleId="4">
    <w:name w:val="Plain Text"/>
    <w:basedOn w:val="1"/>
    <w:qFormat/>
    <w:uiPriority w:val="0"/>
    <w:rPr>
      <w:rFonts w:ascii="宋体" w:hAnsi="Courier New"/>
      <w:kern w:val="0"/>
      <w:sz w:val="20"/>
      <w:szCs w:val="21"/>
    </w:rPr>
  </w:style>
  <w:style w:type="paragraph" w:styleId="5">
    <w:name w:val="footer"/>
    <w:basedOn w:val="1"/>
    <w:qFormat/>
    <w:uiPriority w:val="99"/>
    <w:pPr>
      <w:tabs>
        <w:tab w:val="center" w:pos="4153"/>
        <w:tab w:val="right" w:pos="8306"/>
      </w:tabs>
      <w:snapToGrid w:val="0"/>
      <w:jc w:val="left"/>
    </w:pPr>
    <w:rPr>
      <w:kern w:val="0"/>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473</Words>
  <Characters>477</Characters>
  <Lines>0</Lines>
  <Paragraphs>0</Paragraphs>
  <TotalTime>1</TotalTime>
  <ScaleCrop>false</ScaleCrop>
  <LinksUpToDate>false</LinksUpToDate>
  <CharactersWithSpaces>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2025-08-21T05:37:00Z</dcterms:created>
  <dc:creator>Felix Moe</dc:creator>
  <cp:lastModifiedBy>Felix Moe</cp:lastModifiedBy>
  <dcterms:modified xsi:type="dcterms:W3CDTF">2025-08-21T05:45:05Z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eyJoZGlkIjoiNmQwMjdlMGM0NDBkYTNiZjM0ZmU4OWZiNDA5MThmZDciLCJ1c2VySWQiOiIzNzg3NzAwMTMifQ==</vt:lpwstr>
  </property>
  <property fmtid="{D5CDD505-2E9C-101B-9397-08002B2CF9AE}" pid="4" name="ICV">
    <vt:lpwstr>2DE22CB667B34CE6AD9E07DC03872A44_12</vt:lpwstr>
  </property>
</Properties>
</file>